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E72" w:rsidRDefault="00924E72" w:rsidP="00924E72">
      <w:pPr>
        <w:spacing w:line="360" w:lineRule="auto"/>
        <w:jc w:val="center"/>
        <w:rPr>
          <w:b/>
        </w:rPr>
      </w:pPr>
      <w:r>
        <w:rPr>
          <w:b/>
        </w:rPr>
        <w:t>201</w:t>
      </w:r>
      <w:r w:rsidR="005F32F9">
        <w:rPr>
          <w:b/>
        </w:rPr>
        <w:t>7</w:t>
      </w:r>
      <w:r>
        <w:rPr>
          <w:b/>
        </w:rPr>
        <w:t>-201</w:t>
      </w:r>
      <w:r w:rsidR="005F32F9">
        <w:rPr>
          <w:b/>
        </w:rPr>
        <w:t>8</w:t>
      </w:r>
      <w:r>
        <w:rPr>
          <w:b/>
        </w:rPr>
        <w:t xml:space="preserve"> AKADEMİK YILI </w:t>
      </w:r>
      <w:r w:rsidR="00074DE5" w:rsidRPr="002E0485">
        <w:rPr>
          <w:b/>
        </w:rPr>
        <w:t>İŞVEREN ARAŞTIRMASI</w:t>
      </w:r>
      <w:r>
        <w:rPr>
          <w:b/>
        </w:rPr>
        <w:t xml:space="preserve"> ANKETİ DEĞERLENDİRİLMESİ</w:t>
      </w:r>
    </w:p>
    <w:p w:rsidR="00924A33" w:rsidRDefault="00074DE5" w:rsidP="00074DE5">
      <w:pPr>
        <w:pStyle w:val="AralkYok"/>
        <w:jc w:val="both"/>
      </w:pPr>
      <w:r w:rsidRPr="0053295F">
        <w:t xml:space="preserve">Başkent Üniversitesi Mühendislik Fakültesi </w:t>
      </w:r>
      <w:r>
        <w:t>Endüstri</w:t>
      </w:r>
      <w:r w:rsidRPr="0053295F">
        <w:t xml:space="preserve"> Mühendisliği Bölümü’nün çağdaş bir mühendi</w:t>
      </w:r>
      <w:r>
        <w:t>slik eğitimi verilebilmesi için</w:t>
      </w:r>
      <w:r w:rsidRPr="0053295F">
        <w:t xml:space="preserve"> gerek eğitim alt</w:t>
      </w:r>
      <w:r>
        <w:t xml:space="preserve"> </w:t>
      </w:r>
      <w:r w:rsidRPr="0053295F">
        <w:t xml:space="preserve">yapısının gerekse mühendislik programlarının sürekli geliştirilmesi hedeflenmektedir. Bu amaçla </w:t>
      </w:r>
      <w:r w:rsidR="00924E72">
        <w:t>bö</w:t>
      </w:r>
      <w:r w:rsidRPr="0053295F">
        <w:t xml:space="preserve">lümümüz, </w:t>
      </w:r>
      <w:r w:rsidR="00924E72">
        <w:t xml:space="preserve">mezunlarımızı istihdam eden </w:t>
      </w:r>
      <w:r w:rsidRPr="0053295F">
        <w:t>paydaşlarımızın</w:t>
      </w:r>
      <w:r>
        <w:t>,</w:t>
      </w:r>
      <w:r w:rsidRPr="0053295F">
        <w:t xml:space="preserve"> mezunlarımızı değerlendir</w:t>
      </w:r>
      <w:r w:rsidR="00924E72">
        <w:t>mes</w:t>
      </w:r>
      <w:r>
        <w:t>i,</w:t>
      </w:r>
      <w:r w:rsidR="00924E72">
        <w:t xml:space="preserve"> ileriye yönelik önerilerini aktarabilmes</w:t>
      </w:r>
      <w:r>
        <w:t>i</w:t>
      </w:r>
      <w:r w:rsidRPr="0053295F">
        <w:t xml:space="preserve"> ve </w:t>
      </w:r>
      <w:r>
        <w:t xml:space="preserve">böylece bölümün </w:t>
      </w:r>
      <w:r w:rsidRPr="0053295F">
        <w:t>kendisini yenilemesini sağlaya</w:t>
      </w:r>
      <w:r>
        <w:t>c</w:t>
      </w:r>
      <w:r w:rsidR="00924E72">
        <w:t>ak eğitimde kalitenin sürekli geliştirilmesi</w:t>
      </w:r>
      <w:r w:rsidR="00924A33">
        <w:t>ne katkıda bulunmasını istemektedir</w:t>
      </w:r>
      <w:r w:rsidRPr="0053295F">
        <w:t xml:space="preserve">. Başkent Üniversitesi </w:t>
      </w:r>
      <w:r>
        <w:t>Endüstri</w:t>
      </w:r>
      <w:r w:rsidRPr="0053295F">
        <w:t xml:space="preserve"> Mühendisliği Programı</w:t>
      </w:r>
      <w:r>
        <w:t>’</w:t>
      </w:r>
      <w:r w:rsidRPr="0053295F">
        <w:t xml:space="preserve">nın eğitim amaçlarının belirlenerek sürekli iyileştirilebilen bir mekanizma geliştirebilmesi için </w:t>
      </w:r>
      <w:r w:rsidR="00924A33">
        <w:t xml:space="preserve">İşveren Araştırması Anketi hazırlanmıştır. Bu anketle, mezunumuzun/stajyerimizin işveren tarafından değerlendirilmesi sağlanmıştır. </w:t>
      </w:r>
    </w:p>
    <w:p w:rsidR="00924A33" w:rsidRDefault="00924A33" w:rsidP="00074DE5">
      <w:pPr>
        <w:pStyle w:val="AralkYok"/>
        <w:jc w:val="both"/>
      </w:pPr>
    </w:p>
    <w:p w:rsidR="00E6144D" w:rsidRDefault="00924A33" w:rsidP="00074DE5">
      <w:pPr>
        <w:pStyle w:val="AralkYok"/>
        <w:jc w:val="both"/>
      </w:pPr>
      <w:r>
        <w:t>201</w:t>
      </w:r>
      <w:r w:rsidR="002934BC">
        <w:t>7</w:t>
      </w:r>
      <w:r>
        <w:t>–201</w:t>
      </w:r>
      <w:r w:rsidR="002934BC">
        <w:t>8</w:t>
      </w:r>
      <w:r>
        <w:t xml:space="preserve"> Akademik yılına ait </w:t>
      </w:r>
      <w:r w:rsidR="00E6144D">
        <w:t>İşveren Araştırması A</w:t>
      </w:r>
      <w:r>
        <w:t>nketi</w:t>
      </w:r>
      <w:r w:rsidR="00E6144D">
        <w:t>’</w:t>
      </w:r>
      <w:r>
        <w:t>n</w:t>
      </w:r>
      <w:r w:rsidR="00E6144D">
        <w:t>in</w:t>
      </w:r>
      <w:r>
        <w:t xml:space="preserve"> değerlendirilme</w:t>
      </w:r>
      <w:r w:rsidR="00E6144D">
        <w:t>leri aşağıda verilmiştir:</w:t>
      </w:r>
      <w:r>
        <w:t xml:space="preserve">  </w:t>
      </w:r>
      <w:r w:rsidR="00074DE5" w:rsidRPr="0053295F">
        <w:t xml:space="preserve"> </w:t>
      </w:r>
    </w:p>
    <w:p w:rsidR="00E6144D" w:rsidRDefault="00E6144D" w:rsidP="00074DE5">
      <w:pPr>
        <w:pStyle w:val="AralkYok"/>
        <w:jc w:val="both"/>
      </w:pPr>
    </w:p>
    <w:p w:rsidR="00E6144D" w:rsidRDefault="00E6144D" w:rsidP="00074DE5">
      <w:pPr>
        <w:pStyle w:val="AralkYok"/>
        <w:jc w:val="both"/>
      </w:pPr>
      <w:r>
        <w:t>Staj yapan öğrencilerimizle veya mezunlarımızın çalıştıkları yerlere kapalı zarf yöntemiyle işveren</w:t>
      </w:r>
      <w:r w:rsidRPr="004B1E04">
        <w:t xml:space="preserve"> grubu</w:t>
      </w:r>
      <w:r>
        <w:t xml:space="preserve">na gönderilen anketlere </w:t>
      </w:r>
      <w:r w:rsidR="002934BC">
        <w:t>91</w:t>
      </w:r>
      <w:r>
        <w:t xml:space="preserve"> işveren geri dönüş yapmıştır. </w:t>
      </w:r>
      <w:r w:rsidRPr="004B1E04">
        <w:t xml:space="preserve">Bu anketin güvenilirliği test edilerek </w:t>
      </w:r>
      <w:proofErr w:type="spellStart"/>
      <w:r w:rsidRPr="004B1E04">
        <w:t>Cronba</w:t>
      </w:r>
      <w:r>
        <w:t>c</w:t>
      </w:r>
      <w:r w:rsidRPr="004B1E04">
        <w:t>h’s</w:t>
      </w:r>
      <w:proofErr w:type="spellEnd"/>
      <w:r w:rsidRPr="004B1E04">
        <w:t xml:space="preserve"> </w:t>
      </w:r>
      <w:r>
        <w:t>A</w:t>
      </w:r>
      <w:r w:rsidRPr="004B1E04">
        <w:t>lpha değeri 0,</w:t>
      </w:r>
      <w:r w:rsidR="00C14C9C">
        <w:t>9</w:t>
      </w:r>
      <w:r w:rsidR="002934BC">
        <w:t>3</w:t>
      </w:r>
      <w:r w:rsidR="00374E0D">
        <w:t>4</w:t>
      </w:r>
      <w:r w:rsidRPr="004B1E04">
        <w:t xml:space="preserve"> olarak bulunmuştur. </w:t>
      </w:r>
      <w:r w:rsidRPr="00E6144D">
        <w:t>Bu sonuca göre yapılan anketin uygulanabilirliği yüksektir.</w:t>
      </w:r>
    </w:p>
    <w:p w:rsidR="00074DE5" w:rsidRDefault="00074DE5" w:rsidP="00924A33">
      <w:pPr>
        <w:autoSpaceDE w:val="0"/>
        <w:autoSpaceDN w:val="0"/>
        <w:adjustRightInd w:val="0"/>
        <w:jc w:val="right"/>
      </w:pPr>
      <w:r w:rsidRPr="0053295F">
        <w:t xml:space="preserve">                                                    </w:t>
      </w:r>
      <w:r>
        <w:t xml:space="preserve">                  </w:t>
      </w:r>
      <w:r w:rsidRPr="0053295F">
        <w:t xml:space="preserve">       </w:t>
      </w:r>
      <w:r>
        <w:t xml:space="preserve"> </w:t>
      </w:r>
    </w:p>
    <w:p w:rsidR="00074DE5" w:rsidRPr="00E86150" w:rsidRDefault="00074DE5" w:rsidP="00074DE5">
      <w:pPr>
        <w:autoSpaceDE w:val="0"/>
        <w:autoSpaceDN w:val="0"/>
        <w:adjustRightInd w:val="0"/>
        <w:rPr>
          <w:b/>
          <w:u w:val="single"/>
        </w:rPr>
      </w:pPr>
      <w:r>
        <w:rPr>
          <w:b/>
          <w:u w:val="single"/>
        </w:rPr>
        <w:t xml:space="preserve">Formu Dolduran </w:t>
      </w:r>
      <w:r w:rsidRPr="00E86150">
        <w:rPr>
          <w:b/>
          <w:u w:val="single"/>
        </w:rPr>
        <w:t xml:space="preserve">Yönetici </w:t>
      </w:r>
      <w:r>
        <w:rPr>
          <w:b/>
          <w:u w:val="single"/>
        </w:rPr>
        <w:t xml:space="preserve">ile ilgili </w:t>
      </w:r>
      <w:r w:rsidRPr="00E86150">
        <w:rPr>
          <w:b/>
          <w:u w:val="single"/>
        </w:rPr>
        <w:t>Bilgiler:</w:t>
      </w:r>
    </w:p>
    <w:p w:rsidR="00C7181A" w:rsidRDefault="00C7181A" w:rsidP="00C7181A">
      <w:pPr>
        <w:pStyle w:val="KonuBal"/>
        <w:tabs>
          <w:tab w:val="left" w:pos="2790"/>
          <w:tab w:val="left" w:pos="3960"/>
        </w:tabs>
        <w:spacing w:after="100" w:afterAutospacing="1"/>
        <w:jc w:val="left"/>
        <w:rPr>
          <w:rFonts w:ascii="Times New Roman" w:hAnsi="Times New Roman" w:cs="Times New Roman"/>
          <w:b w:val="0"/>
          <w:sz w:val="24"/>
          <w:szCs w:val="24"/>
        </w:rPr>
      </w:pPr>
      <w:r>
        <w:rPr>
          <w:rFonts w:ascii="Times New Roman" w:hAnsi="Times New Roman" w:cs="Times New Roman"/>
          <w:b w:val="0"/>
          <w:sz w:val="24"/>
          <w:szCs w:val="24"/>
        </w:rPr>
        <w:t>Formu dolduran yöneticilerin eğitim durumu bakımından yüzdelerini gösteren grafik Şekil 1’de verilmiştir.</w:t>
      </w:r>
    </w:p>
    <w:p w:rsidR="00C7181A" w:rsidRPr="00C7181A" w:rsidRDefault="00C7181A" w:rsidP="00C7181A">
      <w:pPr>
        <w:pStyle w:val="ResimYazs"/>
        <w:keepNext/>
        <w:jc w:val="center"/>
        <w:rPr>
          <w:color w:val="000000" w:themeColor="text1"/>
          <w:sz w:val="24"/>
          <w:szCs w:val="24"/>
        </w:rPr>
      </w:pPr>
      <w:r>
        <w:rPr>
          <w:color w:val="000000" w:themeColor="text1"/>
          <w:sz w:val="24"/>
          <w:szCs w:val="24"/>
        </w:rPr>
        <w:t>Şekil</w:t>
      </w:r>
      <w:r w:rsidRPr="00C7181A">
        <w:rPr>
          <w:color w:val="000000" w:themeColor="text1"/>
          <w:sz w:val="24"/>
          <w:szCs w:val="24"/>
        </w:rPr>
        <w:t xml:space="preserve"> </w:t>
      </w:r>
      <w:r w:rsidRPr="00C7181A">
        <w:rPr>
          <w:color w:val="000000" w:themeColor="text1"/>
          <w:sz w:val="24"/>
          <w:szCs w:val="24"/>
        </w:rPr>
        <w:fldChar w:fldCharType="begin"/>
      </w:r>
      <w:r w:rsidRPr="00C7181A">
        <w:rPr>
          <w:color w:val="000000" w:themeColor="text1"/>
          <w:sz w:val="24"/>
          <w:szCs w:val="24"/>
        </w:rPr>
        <w:instrText xml:space="preserve"> SEQ Tablo \* ARABIC </w:instrText>
      </w:r>
      <w:r w:rsidRPr="00C7181A">
        <w:rPr>
          <w:color w:val="000000" w:themeColor="text1"/>
          <w:sz w:val="24"/>
          <w:szCs w:val="24"/>
        </w:rPr>
        <w:fldChar w:fldCharType="separate"/>
      </w:r>
      <w:r w:rsidR="00AB1698">
        <w:rPr>
          <w:noProof/>
          <w:color w:val="000000" w:themeColor="text1"/>
          <w:sz w:val="24"/>
          <w:szCs w:val="24"/>
        </w:rPr>
        <w:t>1</w:t>
      </w:r>
      <w:r w:rsidRPr="00C7181A">
        <w:rPr>
          <w:color w:val="000000" w:themeColor="text1"/>
          <w:sz w:val="24"/>
          <w:szCs w:val="24"/>
        </w:rPr>
        <w:fldChar w:fldCharType="end"/>
      </w:r>
      <w:r w:rsidRPr="00C7181A">
        <w:rPr>
          <w:color w:val="000000" w:themeColor="text1"/>
          <w:sz w:val="24"/>
          <w:szCs w:val="24"/>
        </w:rPr>
        <w:t xml:space="preserve"> Formu Dolduran Yöneticilerin Eğitim Durumu Bakımından Yüzdeleri</w:t>
      </w:r>
    </w:p>
    <w:p w:rsidR="00E83B6D" w:rsidRPr="0053295F" w:rsidRDefault="002934BC" w:rsidP="00C7181A">
      <w:pPr>
        <w:pStyle w:val="KonuBal"/>
        <w:tabs>
          <w:tab w:val="left" w:pos="2790"/>
          <w:tab w:val="left" w:pos="3960"/>
        </w:tabs>
        <w:spacing w:after="100" w:afterAutospacing="1"/>
        <w:rPr>
          <w:rFonts w:ascii="Times New Roman" w:hAnsi="Times New Roman" w:cs="Times New Roman"/>
          <w:b w:val="0"/>
          <w:sz w:val="24"/>
          <w:szCs w:val="24"/>
        </w:rPr>
      </w:pPr>
      <w:r>
        <w:rPr>
          <w:noProof/>
        </w:rPr>
        <w:drawing>
          <wp:inline distT="0" distB="0" distL="0" distR="0" wp14:anchorId="4A68C3F4" wp14:editId="12408648">
            <wp:extent cx="4572000" cy="274320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512D3" w:rsidRDefault="00C7181A" w:rsidP="00074DE5">
      <w:pPr>
        <w:pStyle w:val="KonuBal"/>
        <w:tabs>
          <w:tab w:val="left" w:pos="2410"/>
        </w:tabs>
        <w:spacing w:after="100" w:afterAutospacing="1"/>
        <w:jc w:val="left"/>
        <w:rPr>
          <w:rFonts w:ascii="Times New Roman" w:hAnsi="Times New Roman" w:cs="Times New Roman"/>
          <w:b w:val="0"/>
          <w:sz w:val="24"/>
          <w:szCs w:val="24"/>
        </w:rPr>
      </w:pPr>
      <w:r>
        <w:rPr>
          <w:rFonts w:ascii="Times New Roman" w:hAnsi="Times New Roman" w:cs="Times New Roman"/>
          <w:b w:val="0"/>
          <w:sz w:val="24"/>
          <w:szCs w:val="24"/>
        </w:rPr>
        <w:t>Ankete göre öğrencilerimizin staj yap</w:t>
      </w:r>
      <w:r w:rsidR="00132399">
        <w:rPr>
          <w:rFonts w:ascii="Times New Roman" w:hAnsi="Times New Roman" w:cs="Times New Roman"/>
          <w:b w:val="0"/>
          <w:sz w:val="24"/>
          <w:szCs w:val="24"/>
        </w:rPr>
        <w:t>tığı veya mezunlarımızın çalıştığı kurumlar:</w:t>
      </w:r>
    </w:p>
    <w:p w:rsidR="00074DE5" w:rsidRPr="008512D3" w:rsidRDefault="005F32F9" w:rsidP="00CD415F">
      <w:pPr>
        <w:pStyle w:val="KonuBal"/>
        <w:tabs>
          <w:tab w:val="left" w:pos="2410"/>
        </w:tabs>
        <w:spacing w:after="100" w:afterAutospacing="1"/>
        <w:jc w:val="both"/>
        <w:rPr>
          <w:rFonts w:ascii="Times New Roman" w:hAnsi="Times New Roman" w:cs="Times New Roman"/>
          <w:b w:val="0"/>
          <w:caps/>
          <w:sz w:val="24"/>
          <w:szCs w:val="24"/>
        </w:rPr>
      </w:pPr>
      <w:r w:rsidRPr="005F32F9">
        <w:rPr>
          <w:rFonts w:ascii="Times New Roman" w:hAnsi="Times New Roman" w:cs="Times New Roman"/>
          <w:b w:val="0"/>
          <w:sz w:val="24"/>
          <w:szCs w:val="24"/>
        </w:rPr>
        <w:t>Levent Kimya, Elif Çikolata ve Şekerleme Sanayii A.Ş</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w:t>
      </w:r>
      <w:proofErr w:type="spellStart"/>
      <w:r w:rsidRPr="005F32F9">
        <w:rPr>
          <w:rFonts w:ascii="Times New Roman" w:hAnsi="Times New Roman" w:cs="Times New Roman"/>
          <w:b w:val="0"/>
          <w:sz w:val="24"/>
          <w:szCs w:val="24"/>
        </w:rPr>
        <w:t>Duşal</w:t>
      </w:r>
      <w:proofErr w:type="spellEnd"/>
      <w:r w:rsidRPr="005F32F9">
        <w:rPr>
          <w:rFonts w:ascii="Times New Roman" w:hAnsi="Times New Roman" w:cs="Times New Roman"/>
          <w:b w:val="0"/>
          <w:sz w:val="24"/>
          <w:szCs w:val="24"/>
        </w:rPr>
        <w:t xml:space="preserve"> Duş Küvet Sistemleri Ltd. Şti., TAİ, TTAF Savunma, </w:t>
      </w:r>
      <w:proofErr w:type="spellStart"/>
      <w:r w:rsidRPr="005F32F9">
        <w:rPr>
          <w:rFonts w:ascii="Times New Roman" w:hAnsi="Times New Roman" w:cs="Times New Roman"/>
          <w:b w:val="0"/>
          <w:sz w:val="24"/>
          <w:szCs w:val="24"/>
        </w:rPr>
        <w:t>Döktar</w:t>
      </w:r>
      <w:proofErr w:type="spellEnd"/>
      <w:r w:rsidRPr="005F32F9">
        <w:rPr>
          <w:rFonts w:ascii="Times New Roman" w:hAnsi="Times New Roman" w:cs="Times New Roman"/>
          <w:b w:val="0"/>
          <w:sz w:val="24"/>
          <w:szCs w:val="24"/>
        </w:rPr>
        <w:t xml:space="preserve"> Tarım Makineleri, </w:t>
      </w:r>
      <w:proofErr w:type="spellStart"/>
      <w:r w:rsidRPr="005F32F9">
        <w:rPr>
          <w:rFonts w:ascii="Times New Roman" w:hAnsi="Times New Roman" w:cs="Times New Roman"/>
          <w:b w:val="0"/>
          <w:sz w:val="24"/>
          <w:szCs w:val="24"/>
        </w:rPr>
        <w:t>Limak</w:t>
      </w:r>
      <w:proofErr w:type="spellEnd"/>
      <w:r w:rsidRPr="005F32F9">
        <w:rPr>
          <w:rFonts w:ascii="Times New Roman" w:hAnsi="Times New Roman" w:cs="Times New Roman"/>
          <w:b w:val="0"/>
          <w:sz w:val="24"/>
          <w:szCs w:val="24"/>
        </w:rPr>
        <w:t xml:space="preserve"> Çimento, </w:t>
      </w:r>
      <w:proofErr w:type="spellStart"/>
      <w:r w:rsidRPr="005F32F9">
        <w:rPr>
          <w:rFonts w:ascii="Times New Roman" w:hAnsi="Times New Roman" w:cs="Times New Roman"/>
          <w:b w:val="0"/>
          <w:sz w:val="24"/>
          <w:szCs w:val="24"/>
        </w:rPr>
        <w:t>Schnieder</w:t>
      </w:r>
      <w:proofErr w:type="spellEnd"/>
      <w:r w:rsidRPr="005F32F9">
        <w:rPr>
          <w:rFonts w:ascii="Times New Roman" w:hAnsi="Times New Roman" w:cs="Times New Roman"/>
          <w:b w:val="0"/>
          <w:sz w:val="24"/>
          <w:szCs w:val="24"/>
        </w:rPr>
        <w:t xml:space="preserve"> Elektrik, GKN </w:t>
      </w:r>
      <w:proofErr w:type="spellStart"/>
      <w:r w:rsidRPr="005F32F9">
        <w:rPr>
          <w:rFonts w:ascii="Times New Roman" w:hAnsi="Times New Roman" w:cs="Times New Roman"/>
          <w:b w:val="0"/>
          <w:sz w:val="24"/>
          <w:szCs w:val="24"/>
        </w:rPr>
        <w:t>Driveline</w:t>
      </w:r>
      <w:proofErr w:type="spellEnd"/>
      <w:r w:rsidRPr="005F32F9">
        <w:rPr>
          <w:rFonts w:ascii="Times New Roman" w:hAnsi="Times New Roman" w:cs="Times New Roman"/>
          <w:b w:val="0"/>
          <w:sz w:val="24"/>
          <w:szCs w:val="24"/>
        </w:rPr>
        <w:t xml:space="preserve">, FNSS Savunma Sistemleri A.Ş., </w:t>
      </w:r>
      <w:proofErr w:type="spellStart"/>
      <w:r w:rsidRPr="005F32F9">
        <w:rPr>
          <w:rFonts w:ascii="Times New Roman" w:hAnsi="Times New Roman" w:cs="Times New Roman"/>
          <w:b w:val="0"/>
          <w:sz w:val="24"/>
          <w:szCs w:val="24"/>
        </w:rPr>
        <w:t>Öndkor</w:t>
      </w:r>
      <w:proofErr w:type="spellEnd"/>
      <w:r w:rsidRPr="005F32F9">
        <w:rPr>
          <w:rFonts w:ascii="Times New Roman" w:hAnsi="Times New Roman" w:cs="Times New Roman"/>
          <w:b w:val="0"/>
          <w:sz w:val="24"/>
          <w:szCs w:val="24"/>
        </w:rPr>
        <w:t xml:space="preserve"> Tarım Aletleri Ltd. Şti., Katmerciler A.Ş., SDT, ORS, Mesa İmalat, </w:t>
      </w:r>
      <w:proofErr w:type="spellStart"/>
      <w:r w:rsidRPr="005F32F9">
        <w:rPr>
          <w:rFonts w:ascii="Times New Roman" w:hAnsi="Times New Roman" w:cs="Times New Roman"/>
          <w:b w:val="0"/>
          <w:sz w:val="24"/>
          <w:szCs w:val="24"/>
        </w:rPr>
        <w:t>Erkunt</w:t>
      </w:r>
      <w:proofErr w:type="spellEnd"/>
      <w:r w:rsidRPr="005F32F9">
        <w:rPr>
          <w:rFonts w:ascii="Times New Roman" w:hAnsi="Times New Roman" w:cs="Times New Roman"/>
          <w:b w:val="0"/>
          <w:sz w:val="24"/>
          <w:szCs w:val="24"/>
        </w:rPr>
        <w:t xml:space="preserve"> Traktör Sanayi A.Ş., Göker İş Makinaları, Doğanlar Çelik Dövme San. Tic. A.Ş</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w:t>
      </w:r>
      <w:proofErr w:type="spellStart"/>
      <w:r w:rsidRPr="005F32F9">
        <w:rPr>
          <w:rFonts w:ascii="Times New Roman" w:hAnsi="Times New Roman" w:cs="Times New Roman"/>
          <w:b w:val="0"/>
          <w:sz w:val="24"/>
          <w:szCs w:val="24"/>
        </w:rPr>
        <w:t>Intecro</w:t>
      </w:r>
      <w:proofErr w:type="spellEnd"/>
      <w:r w:rsidRPr="005F32F9">
        <w:rPr>
          <w:rFonts w:ascii="Times New Roman" w:hAnsi="Times New Roman" w:cs="Times New Roman"/>
          <w:b w:val="0"/>
          <w:sz w:val="24"/>
          <w:szCs w:val="24"/>
        </w:rPr>
        <w:t xml:space="preserve"> Robotik Otomasyon A.Ş., </w:t>
      </w:r>
      <w:proofErr w:type="spellStart"/>
      <w:r w:rsidRPr="005F32F9">
        <w:rPr>
          <w:rFonts w:ascii="Times New Roman" w:hAnsi="Times New Roman" w:cs="Times New Roman"/>
          <w:b w:val="0"/>
          <w:sz w:val="24"/>
          <w:szCs w:val="24"/>
        </w:rPr>
        <w:t>Entil</w:t>
      </w:r>
      <w:proofErr w:type="spellEnd"/>
      <w:r w:rsidRPr="005F32F9">
        <w:rPr>
          <w:rFonts w:ascii="Times New Roman" w:hAnsi="Times New Roman" w:cs="Times New Roman"/>
          <w:b w:val="0"/>
          <w:sz w:val="24"/>
          <w:szCs w:val="24"/>
        </w:rPr>
        <w:t xml:space="preserve"> Endüstri Yatırımları Tic. A.Ş., </w:t>
      </w:r>
      <w:proofErr w:type="spellStart"/>
      <w:r w:rsidRPr="005F32F9">
        <w:rPr>
          <w:rFonts w:ascii="Times New Roman" w:hAnsi="Times New Roman" w:cs="Times New Roman"/>
          <w:b w:val="0"/>
          <w:sz w:val="24"/>
          <w:szCs w:val="24"/>
        </w:rPr>
        <w:t>Termo</w:t>
      </w:r>
      <w:proofErr w:type="spellEnd"/>
      <w:r w:rsidRPr="005F32F9">
        <w:rPr>
          <w:rFonts w:ascii="Times New Roman" w:hAnsi="Times New Roman" w:cs="Times New Roman"/>
          <w:b w:val="0"/>
          <w:sz w:val="24"/>
          <w:szCs w:val="24"/>
        </w:rPr>
        <w:t xml:space="preserve"> Teknik Tic. San. A.Ş</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Tepe Home, Arçelik, Alarko-Carrier Sanayii ve Tic. A.Ş., </w:t>
      </w:r>
      <w:proofErr w:type="spellStart"/>
      <w:r w:rsidRPr="005F32F9">
        <w:rPr>
          <w:rFonts w:ascii="Times New Roman" w:hAnsi="Times New Roman" w:cs="Times New Roman"/>
          <w:b w:val="0"/>
          <w:sz w:val="24"/>
          <w:szCs w:val="24"/>
        </w:rPr>
        <w:t>Europower</w:t>
      </w:r>
      <w:proofErr w:type="spellEnd"/>
      <w:r w:rsidRPr="005F32F9">
        <w:rPr>
          <w:rFonts w:ascii="Times New Roman" w:hAnsi="Times New Roman" w:cs="Times New Roman"/>
          <w:b w:val="0"/>
          <w:sz w:val="24"/>
          <w:szCs w:val="24"/>
        </w:rPr>
        <w:t xml:space="preserve"> Enerji Otomasyon A.Ş., </w:t>
      </w:r>
      <w:proofErr w:type="spellStart"/>
      <w:r w:rsidRPr="005F32F9">
        <w:rPr>
          <w:rFonts w:ascii="Times New Roman" w:hAnsi="Times New Roman" w:cs="Times New Roman"/>
          <w:b w:val="0"/>
          <w:sz w:val="24"/>
          <w:szCs w:val="24"/>
        </w:rPr>
        <w:t>Havelsan</w:t>
      </w:r>
      <w:proofErr w:type="spellEnd"/>
      <w:r w:rsidRPr="005F32F9">
        <w:rPr>
          <w:rFonts w:ascii="Times New Roman" w:hAnsi="Times New Roman" w:cs="Times New Roman"/>
          <w:b w:val="0"/>
          <w:sz w:val="24"/>
          <w:szCs w:val="24"/>
        </w:rPr>
        <w:t xml:space="preserve"> A.Ş., Aktaş Döküm A.Ş., Nurol Makine Sanayi A.Ş., </w:t>
      </w:r>
      <w:proofErr w:type="spellStart"/>
      <w:r w:rsidRPr="005F32F9">
        <w:rPr>
          <w:rFonts w:ascii="Times New Roman" w:hAnsi="Times New Roman" w:cs="Times New Roman"/>
          <w:b w:val="0"/>
          <w:sz w:val="24"/>
          <w:szCs w:val="24"/>
        </w:rPr>
        <w:t>Roketsan</w:t>
      </w:r>
      <w:proofErr w:type="spellEnd"/>
      <w:r w:rsidRPr="005F32F9">
        <w:rPr>
          <w:rFonts w:ascii="Times New Roman" w:hAnsi="Times New Roman" w:cs="Times New Roman"/>
          <w:b w:val="0"/>
          <w:sz w:val="24"/>
          <w:szCs w:val="24"/>
        </w:rPr>
        <w:t xml:space="preserve"> A.Ş., Öznur Savunma Havacılık </w:t>
      </w:r>
      <w:proofErr w:type="spellStart"/>
      <w:r w:rsidRPr="005F32F9">
        <w:rPr>
          <w:rFonts w:ascii="Times New Roman" w:hAnsi="Times New Roman" w:cs="Times New Roman"/>
          <w:b w:val="0"/>
          <w:sz w:val="24"/>
          <w:szCs w:val="24"/>
        </w:rPr>
        <w:t>Mak</w:t>
      </w:r>
      <w:proofErr w:type="spellEnd"/>
      <w:r w:rsidRPr="005F32F9">
        <w:rPr>
          <w:rFonts w:ascii="Times New Roman" w:hAnsi="Times New Roman" w:cs="Times New Roman"/>
          <w:b w:val="0"/>
          <w:sz w:val="24"/>
          <w:szCs w:val="24"/>
        </w:rPr>
        <w:t>. San. Tic. Ltd. Şti</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w:t>
      </w:r>
      <w:proofErr w:type="spellStart"/>
      <w:r w:rsidRPr="005F32F9">
        <w:rPr>
          <w:rFonts w:ascii="Times New Roman" w:hAnsi="Times New Roman" w:cs="Times New Roman"/>
          <w:b w:val="0"/>
          <w:sz w:val="24"/>
          <w:szCs w:val="24"/>
        </w:rPr>
        <w:t>Ersa</w:t>
      </w:r>
      <w:proofErr w:type="spellEnd"/>
      <w:r w:rsidRPr="005F32F9">
        <w:rPr>
          <w:rFonts w:ascii="Times New Roman" w:hAnsi="Times New Roman" w:cs="Times New Roman"/>
          <w:b w:val="0"/>
          <w:sz w:val="24"/>
          <w:szCs w:val="24"/>
        </w:rPr>
        <w:t xml:space="preserve"> Mobilya, Aydınlar Yedek Parça, Mor Alüminyum </w:t>
      </w:r>
      <w:proofErr w:type="spellStart"/>
      <w:r w:rsidRPr="005F32F9">
        <w:rPr>
          <w:rFonts w:ascii="Times New Roman" w:hAnsi="Times New Roman" w:cs="Times New Roman"/>
          <w:b w:val="0"/>
          <w:sz w:val="24"/>
          <w:szCs w:val="24"/>
        </w:rPr>
        <w:t>Metalurji</w:t>
      </w:r>
      <w:proofErr w:type="spellEnd"/>
      <w:r w:rsidRPr="005F32F9">
        <w:rPr>
          <w:rFonts w:ascii="Times New Roman" w:hAnsi="Times New Roman" w:cs="Times New Roman"/>
          <w:b w:val="0"/>
          <w:sz w:val="24"/>
          <w:szCs w:val="24"/>
        </w:rPr>
        <w:t xml:space="preserve"> Makine İnşaat Sanayi ve Tic. A.Ş., Dora Makine, </w:t>
      </w:r>
      <w:proofErr w:type="spellStart"/>
      <w:r w:rsidRPr="005F32F9">
        <w:rPr>
          <w:rFonts w:ascii="Times New Roman" w:hAnsi="Times New Roman" w:cs="Times New Roman"/>
          <w:b w:val="0"/>
          <w:sz w:val="24"/>
          <w:szCs w:val="24"/>
        </w:rPr>
        <w:t>Botaş</w:t>
      </w:r>
      <w:proofErr w:type="spellEnd"/>
      <w:r w:rsidRPr="005F32F9">
        <w:rPr>
          <w:rFonts w:ascii="Times New Roman" w:hAnsi="Times New Roman" w:cs="Times New Roman"/>
          <w:b w:val="0"/>
          <w:sz w:val="24"/>
          <w:szCs w:val="24"/>
        </w:rPr>
        <w:t xml:space="preserve">, </w:t>
      </w:r>
      <w:proofErr w:type="spellStart"/>
      <w:r w:rsidRPr="005F32F9">
        <w:rPr>
          <w:rFonts w:ascii="Times New Roman" w:hAnsi="Times New Roman" w:cs="Times New Roman"/>
          <w:b w:val="0"/>
          <w:sz w:val="24"/>
          <w:szCs w:val="24"/>
        </w:rPr>
        <w:t>Selina</w:t>
      </w:r>
      <w:proofErr w:type="spellEnd"/>
      <w:r w:rsidRPr="005F32F9">
        <w:rPr>
          <w:rFonts w:ascii="Times New Roman" w:hAnsi="Times New Roman" w:cs="Times New Roman"/>
          <w:b w:val="0"/>
          <w:sz w:val="24"/>
          <w:szCs w:val="24"/>
        </w:rPr>
        <w:t xml:space="preserve"> Gıda Mad. Tur. Yem. </w:t>
      </w:r>
      <w:proofErr w:type="spellStart"/>
      <w:r w:rsidRPr="005F32F9">
        <w:rPr>
          <w:rFonts w:ascii="Times New Roman" w:hAnsi="Times New Roman" w:cs="Times New Roman"/>
          <w:b w:val="0"/>
          <w:sz w:val="24"/>
          <w:szCs w:val="24"/>
        </w:rPr>
        <w:t>Hiz</w:t>
      </w:r>
      <w:proofErr w:type="spellEnd"/>
      <w:r w:rsidRPr="005F32F9">
        <w:rPr>
          <w:rFonts w:ascii="Times New Roman" w:hAnsi="Times New Roman" w:cs="Times New Roman"/>
          <w:b w:val="0"/>
          <w:sz w:val="24"/>
          <w:szCs w:val="24"/>
        </w:rPr>
        <w:t>. Tic. Ltd. Şti</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w:t>
      </w:r>
      <w:proofErr w:type="spellStart"/>
      <w:r w:rsidRPr="005F32F9">
        <w:rPr>
          <w:rFonts w:ascii="Times New Roman" w:hAnsi="Times New Roman" w:cs="Times New Roman"/>
          <w:b w:val="0"/>
          <w:sz w:val="24"/>
          <w:szCs w:val="24"/>
        </w:rPr>
        <w:t>Erkunt</w:t>
      </w:r>
      <w:proofErr w:type="spellEnd"/>
      <w:r w:rsidRPr="005F32F9">
        <w:rPr>
          <w:rFonts w:ascii="Times New Roman" w:hAnsi="Times New Roman" w:cs="Times New Roman"/>
          <w:b w:val="0"/>
          <w:sz w:val="24"/>
          <w:szCs w:val="24"/>
        </w:rPr>
        <w:t xml:space="preserve"> Sanayi A.Ş., HMS Makine San. ve Tic. A.Ş</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Mikron Makine San. Tic. Ltd. Şti</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MAN Türkiye A.Ş., </w:t>
      </w:r>
      <w:proofErr w:type="spellStart"/>
      <w:r w:rsidRPr="005F32F9">
        <w:rPr>
          <w:rFonts w:ascii="Times New Roman" w:hAnsi="Times New Roman" w:cs="Times New Roman"/>
          <w:b w:val="0"/>
          <w:sz w:val="24"/>
          <w:szCs w:val="24"/>
        </w:rPr>
        <w:t>Digital</w:t>
      </w:r>
      <w:proofErr w:type="spellEnd"/>
      <w:r w:rsidRPr="005F32F9">
        <w:rPr>
          <w:rFonts w:ascii="Times New Roman" w:hAnsi="Times New Roman" w:cs="Times New Roman"/>
          <w:b w:val="0"/>
          <w:sz w:val="24"/>
          <w:szCs w:val="24"/>
        </w:rPr>
        <w:t xml:space="preserve"> Güç,  İşlem Test Sistemleri Elektronik Telekomünikasyon Ltd. Şti., </w:t>
      </w:r>
      <w:proofErr w:type="spellStart"/>
      <w:r w:rsidRPr="005F32F9">
        <w:rPr>
          <w:rFonts w:ascii="Times New Roman" w:hAnsi="Times New Roman" w:cs="Times New Roman"/>
          <w:b w:val="0"/>
          <w:sz w:val="24"/>
          <w:szCs w:val="24"/>
        </w:rPr>
        <w:t>Çelmak</w:t>
      </w:r>
      <w:proofErr w:type="spellEnd"/>
      <w:r w:rsidRPr="005F32F9">
        <w:rPr>
          <w:rFonts w:ascii="Times New Roman" w:hAnsi="Times New Roman" w:cs="Times New Roman"/>
          <w:b w:val="0"/>
          <w:sz w:val="24"/>
          <w:szCs w:val="24"/>
        </w:rPr>
        <w:t xml:space="preserve"> Tarım </w:t>
      </w:r>
      <w:proofErr w:type="spellStart"/>
      <w:r w:rsidRPr="005F32F9">
        <w:rPr>
          <w:rFonts w:ascii="Times New Roman" w:hAnsi="Times New Roman" w:cs="Times New Roman"/>
          <w:b w:val="0"/>
          <w:sz w:val="24"/>
          <w:szCs w:val="24"/>
        </w:rPr>
        <w:t>Mak</w:t>
      </w:r>
      <w:proofErr w:type="spellEnd"/>
      <w:r w:rsidRPr="005F32F9">
        <w:rPr>
          <w:rFonts w:ascii="Times New Roman" w:hAnsi="Times New Roman" w:cs="Times New Roman"/>
          <w:b w:val="0"/>
          <w:sz w:val="24"/>
          <w:szCs w:val="24"/>
        </w:rPr>
        <w:t>. Plastik ve Demir Doğ. Hay. Tic. San. Ltd. Şti</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Samur Halılar San. Tic. A.Ş</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w:t>
      </w:r>
      <w:proofErr w:type="spellStart"/>
      <w:r w:rsidRPr="005F32F9">
        <w:rPr>
          <w:rFonts w:ascii="Times New Roman" w:hAnsi="Times New Roman" w:cs="Times New Roman"/>
          <w:b w:val="0"/>
          <w:sz w:val="24"/>
          <w:szCs w:val="24"/>
        </w:rPr>
        <w:t>Tekmosa</w:t>
      </w:r>
      <w:proofErr w:type="spellEnd"/>
      <w:r w:rsidRPr="005F32F9">
        <w:rPr>
          <w:rFonts w:ascii="Times New Roman" w:hAnsi="Times New Roman" w:cs="Times New Roman"/>
          <w:b w:val="0"/>
          <w:sz w:val="24"/>
          <w:szCs w:val="24"/>
        </w:rPr>
        <w:t xml:space="preserve"> </w:t>
      </w:r>
      <w:r w:rsidRPr="005F32F9">
        <w:rPr>
          <w:rFonts w:ascii="Times New Roman" w:hAnsi="Times New Roman" w:cs="Times New Roman"/>
          <w:b w:val="0"/>
          <w:sz w:val="24"/>
          <w:szCs w:val="24"/>
        </w:rPr>
        <w:lastRenderedPageBreak/>
        <w:t>Ltd. Şti., E-Berk Tünel Tek., Karin Gıda San. ve Tic. A.Ş</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ORPAŞ Endüstriyel ve Kurumsal </w:t>
      </w:r>
      <w:proofErr w:type="spellStart"/>
      <w:r w:rsidRPr="005F32F9">
        <w:rPr>
          <w:rFonts w:ascii="Times New Roman" w:hAnsi="Times New Roman" w:cs="Times New Roman"/>
          <w:b w:val="0"/>
          <w:sz w:val="24"/>
          <w:szCs w:val="24"/>
        </w:rPr>
        <w:t>Hiz</w:t>
      </w:r>
      <w:proofErr w:type="spellEnd"/>
      <w:r w:rsidRPr="005F32F9">
        <w:rPr>
          <w:rFonts w:ascii="Times New Roman" w:hAnsi="Times New Roman" w:cs="Times New Roman"/>
          <w:b w:val="0"/>
          <w:sz w:val="24"/>
          <w:szCs w:val="24"/>
        </w:rPr>
        <w:t>. Ürünler San. Tic. A.Ş</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w:t>
      </w:r>
      <w:proofErr w:type="spellStart"/>
      <w:r w:rsidRPr="005F32F9">
        <w:rPr>
          <w:rFonts w:ascii="Times New Roman" w:hAnsi="Times New Roman" w:cs="Times New Roman"/>
          <w:b w:val="0"/>
          <w:sz w:val="24"/>
          <w:szCs w:val="24"/>
        </w:rPr>
        <w:t>Temsa</w:t>
      </w:r>
      <w:proofErr w:type="spellEnd"/>
      <w:r w:rsidRPr="005F32F9">
        <w:rPr>
          <w:rFonts w:ascii="Times New Roman" w:hAnsi="Times New Roman" w:cs="Times New Roman"/>
          <w:b w:val="0"/>
          <w:sz w:val="24"/>
          <w:szCs w:val="24"/>
        </w:rPr>
        <w:t xml:space="preserve"> İş makinaları A.Ş., </w:t>
      </w:r>
      <w:proofErr w:type="spellStart"/>
      <w:r w:rsidRPr="005F32F9">
        <w:rPr>
          <w:rFonts w:ascii="Times New Roman" w:hAnsi="Times New Roman" w:cs="Times New Roman"/>
          <w:b w:val="0"/>
          <w:sz w:val="24"/>
          <w:szCs w:val="24"/>
        </w:rPr>
        <w:t>Korozo</w:t>
      </w:r>
      <w:proofErr w:type="spellEnd"/>
      <w:r w:rsidRPr="005F32F9">
        <w:rPr>
          <w:rFonts w:ascii="Times New Roman" w:hAnsi="Times New Roman" w:cs="Times New Roman"/>
          <w:b w:val="0"/>
          <w:sz w:val="24"/>
          <w:szCs w:val="24"/>
        </w:rPr>
        <w:t xml:space="preserve"> Ambalaj, </w:t>
      </w:r>
      <w:proofErr w:type="spellStart"/>
      <w:r w:rsidRPr="005F32F9">
        <w:rPr>
          <w:rFonts w:ascii="Times New Roman" w:hAnsi="Times New Roman" w:cs="Times New Roman"/>
          <w:b w:val="0"/>
          <w:sz w:val="24"/>
          <w:szCs w:val="24"/>
        </w:rPr>
        <w:t>Roketsan</w:t>
      </w:r>
      <w:proofErr w:type="spellEnd"/>
      <w:r w:rsidRPr="005F32F9">
        <w:rPr>
          <w:rFonts w:ascii="Times New Roman" w:hAnsi="Times New Roman" w:cs="Times New Roman"/>
          <w:b w:val="0"/>
          <w:sz w:val="24"/>
          <w:szCs w:val="24"/>
        </w:rPr>
        <w:t xml:space="preserve"> A.Ş., Deva Holding, Anadolu Efes Ankara, Sarah Konfeksiyon, </w:t>
      </w:r>
      <w:proofErr w:type="spellStart"/>
      <w:r w:rsidRPr="005F32F9">
        <w:rPr>
          <w:rFonts w:ascii="Times New Roman" w:hAnsi="Times New Roman" w:cs="Times New Roman"/>
          <w:b w:val="0"/>
          <w:sz w:val="24"/>
          <w:szCs w:val="24"/>
        </w:rPr>
        <w:t>Erkunt</w:t>
      </w:r>
      <w:proofErr w:type="spellEnd"/>
      <w:r w:rsidRPr="005F32F9">
        <w:rPr>
          <w:rFonts w:ascii="Times New Roman" w:hAnsi="Times New Roman" w:cs="Times New Roman"/>
          <w:b w:val="0"/>
          <w:sz w:val="24"/>
          <w:szCs w:val="24"/>
        </w:rPr>
        <w:t xml:space="preserve"> Sanayi A.Ş., Alkor Alüminyum A.Ş., Murat Ateş Makine San. Tic. A.Ş</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w:t>
      </w:r>
      <w:proofErr w:type="spellStart"/>
      <w:r w:rsidRPr="005F32F9">
        <w:rPr>
          <w:rFonts w:ascii="Times New Roman" w:hAnsi="Times New Roman" w:cs="Times New Roman"/>
          <w:b w:val="0"/>
          <w:sz w:val="24"/>
          <w:szCs w:val="24"/>
        </w:rPr>
        <w:t>Ersa</w:t>
      </w:r>
      <w:proofErr w:type="spellEnd"/>
      <w:r w:rsidRPr="005F32F9">
        <w:rPr>
          <w:rFonts w:ascii="Times New Roman" w:hAnsi="Times New Roman" w:cs="Times New Roman"/>
          <w:b w:val="0"/>
          <w:sz w:val="24"/>
          <w:szCs w:val="24"/>
        </w:rPr>
        <w:t xml:space="preserve"> Mobilya, Alfa Solar Enerji A.Ş., </w:t>
      </w:r>
      <w:proofErr w:type="spellStart"/>
      <w:r w:rsidRPr="005F32F9">
        <w:rPr>
          <w:rFonts w:ascii="Times New Roman" w:hAnsi="Times New Roman" w:cs="Times New Roman"/>
          <w:b w:val="0"/>
          <w:sz w:val="24"/>
          <w:szCs w:val="24"/>
        </w:rPr>
        <w:t>Karra</w:t>
      </w:r>
      <w:proofErr w:type="spellEnd"/>
      <w:r w:rsidRPr="005F32F9">
        <w:rPr>
          <w:rFonts w:ascii="Times New Roman" w:hAnsi="Times New Roman" w:cs="Times New Roman"/>
          <w:b w:val="0"/>
          <w:sz w:val="24"/>
          <w:szCs w:val="24"/>
        </w:rPr>
        <w:t xml:space="preserve"> Mobilya, NIN Çikolata San. İç ve Dış Tic. A.Ş</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Fiber Form </w:t>
      </w:r>
      <w:proofErr w:type="spellStart"/>
      <w:r w:rsidRPr="005F32F9">
        <w:rPr>
          <w:rFonts w:ascii="Times New Roman" w:hAnsi="Times New Roman" w:cs="Times New Roman"/>
          <w:b w:val="0"/>
          <w:sz w:val="24"/>
          <w:szCs w:val="24"/>
        </w:rPr>
        <w:t>Precast</w:t>
      </w:r>
      <w:proofErr w:type="spellEnd"/>
      <w:r w:rsidRPr="005F32F9">
        <w:rPr>
          <w:rFonts w:ascii="Times New Roman" w:hAnsi="Times New Roman" w:cs="Times New Roman"/>
          <w:b w:val="0"/>
          <w:sz w:val="24"/>
          <w:szCs w:val="24"/>
        </w:rPr>
        <w:t xml:space="preserve"> Ltd. Şti., Epsilon </w:t>
      </w:r>
      <w:proofErr w:type="spellStart"/>
      <w:r w:rsidRPr="005F32F9">
        <w:rPr>
          <w:rFonts w:ascii="Times New Roman" w:hAnsi="Times New Roman" w:cs="Times New Roman"/>
          <w:b w:val="0"/>
          <w:sz w:val="24"/>
          <w:szCs w:val="24"/>
        </w:rPr>
        <w:t>Kompozit</w:t>
      </w:r>
      <w:proofErr w:type="spellEnd"/>
      <w:r w:rsidRPr="005F32F9">
        <w:rPr>
          <w:rFonts w:ascii="Times New Roman" w:hAnsi="Times New Roman" w:cs="Times New Roman"/>
          <w:b w:val="0"/>
          <w:sz w:val="24"/>
          <w:szCs w:val="24"/>
        </w:rPr>
        <w:t xml:space="preserve"> Teknoloji ve Savunma Sanayii A.Ş., </w:t>
      </w:r>
      <w:proofErr w:type="spellStart"/>
      <w:r w:rsidRPr="005F32F9">
        <w:rPr>
          <w:rFonts w:ascii="Times New Roman" w:hAnsi="Times New Roman" w:cs="Times New Roman"/>
          <w:b w:val="0"/>
          <w:sz w:val="24"/>
          <w:szCs w:val="24"/>
        </w:rPr>
        <w:t>Akdaş</w:t>
      </w:r>
      <w:proofErr w:type="spellEnd"/>
      <w:r w:rsidRPr="005F32F9">
        <w:rPr>
          <w:rFonts w:ascii="Times New Roman" w:hAnsi="Times New Roman" w:cs="Times New Roman"/>
          <w:b w:val="0"/>
          <w:sz w:val="24"/>
          <w:szCs w:val="24"/>
        </w:rPr>
        <w:t xml:space="preserve"> döküm san. Tic. A.Ş</w:t>
      </w:r>
      <w:proofErr w:type="gramStart"/>
      <w:r w:rsidRPr="005F32F9">
        <w:rPr>
          <w:rFonts w:ascii="Times New Roman" w:hAnsi="Times New Roman" w:cs="Times New Roman"/>
          <w:b w:val="0"/>
          <w:sz w:val="24"/>
          <w:szCs w:val="24"/>
        </w:rPr>
        <w:t>.,</w:t>
      </w:r>
      <w:proofErr w:type="gramEnd"/>
      <w:r w:rsidRPr="005F32F9">
        <w:rPr>
          <w:rFonts w:ascii="Times New Roman" w:hAnsi="Times New Roman" w:cs="Times New Roman"/>
          <w:b w:val="0"/>
          <w:sz w:val="24"/>
          <w:szCs w:val="24"/>
        </w:rPr>
        <w:t xml:space="preserve"> Aselsan Sanay</w:t>
      </w:r>
      <w:r>
        <w:rPr>
          <w:rFonts w:ascii="Times New Roman" w:hAnsi="Times New Roman" w:cs="Times New Roman"/>
          <w:b w:val="0"/>
          <w:sz w:val="24"/>
          <w:szCs w:val="24"/>
        </w:rPr>
        <w:t>i ve Tic. A.Ş.</w:t>
      </w:r>
      <w:r w:rsidR="008512D3" w:rsidRPr="008512D3">
        <w:rPr>
          <w:rFonts w:ascii="Times New Roman" w:hAnsi="Times New Roman" w:cs="Times New Roman"/>
          <w:b w:val="0"/>
          <w:sz w:val="24"/>
          <w:szCs w:val="24"/>
        </w:rPr>
        <w:t xml:space="preserve">  </w:t>
      </w:r>
    </w:p>
    <w:p w:rsidR="0073734C" w:rsidRDefault="0073734C" w:rsidP="00074DE5">
      <w:pPr>
        <w:pStyle w:val="KonuBal"/>
        <w:tabs>
          <w:tab w:val="left" w:pos="2410"/>
        </w:tabs>
        <w:spacing w:after="100" w:afterAutospacing="1"/>
        <w:jc w:val="left"/>
        <w:rPr>
          <w:rFonts w:ascii="Times New Roman" w:hAnsi="Times New Roman" w:cs="Times New Roman"/>
          <w:b w:val="0"/>
          <w:sz w:val="24"/>
          <w:szCs w:val="24"/>
        </w:rPr>
      </w:pPr>
      <w:r>
        <w:rPr>
          <w:rFonts w:ascii="Times New Roman" w:hAnsi="Times New Roman" w:cs="Times New Roman"/>
          <w:b w:val="0"/>
          <w:sz w:val="24"/>
          <w:szCs w:val="24"/>
        </w:rPr>
        <w:t>Formu dolduran yöneticilerin eğitim durumu bakımından yüzdelerini gösteren grafik Şekil 2’de verilmiştir.</w:t>
      </w:r>
    </w:p>
    <w:p w:rsidR="00132399" w:rsidRDefault="00132399" w:rsidP="00074DE5">
      <w:pPr>
        <w:pStyle w:val="KonuBal"/>
        <w:tabs>
          <w:tab w:val="left" w:pos="2410"/>
        </w:tabs>
        <w:spacing w:after="100" w:afterAutospacing="1"/>
        <w:jc w:val="left"/>
        <w:rPr>
          <w:rFonts w:ascii="Times New Roman" w:hAnsi="Times New Roman" w:cs="Times New Roman"/>
          <w:b w:val="0"/>
          <w:sz w:val="24"/>
          <w:szCs w:val="24"/>
        </w:rPr>
      </w:pPr>
    </w:p>
    <w:p w:rsidR="0073734C" w:rsidRPr="0073734C" w:rsidRDefault="0073734C" w:rsidP="0073734C">
      <w:pPr>
        <w:pStyle w:val="ResimYazs"/>
        <w:keepNext/>
        <w:jc w:val="center"/>
        <w:rPr>
          <w:color w:val="000000" w:themeColor="text1"/>
          <w:sz w:val="24"/>
          <w:szCs w:val="24"/>
        </w:rPr>
      </w:pPr>
      <w:r>
        <w:rPr>
          <w:color w:val="000000" w:themeColor="text1"/>
          <w:sz w:val="24"/>
          <w:szCs w:val="24"/>
        </w:rPr>
        <w:t>Şekil</w:t>
      </w:r>
      <w:r w:rsidRPr="00C7181A">
        <w:rPr>
          <w:color w:val="000000" w:themeColor="text1"/>
          <w:sz w:val="24"/>
          <w:szCs w:val="24"/>
        </w:rPr>
        <w:t xml:space="preserve"> </w:t>
      </w:r>
      <w:r>
        <w:rPr>
          <w:color w:val="000000" w:themeColor="text1"/>
          <w:sz w:val="24"/>
          <w:szCs w:val="24"/>
        </w:rPr>
        <w:t>2</w:t>
      </w:r>
      <w:r w:rsidRPr="00C7181A">
        <w:rPr>
          <w:color w:val="000000" w:themeColor="text1"/>
          <w:sz w:val="24"/>
          <w:szCs w:val="24"/>
        </w:rPr>
        <w:t xml:space="preserve"> Formu Dolduran Yöneticilerin </w:t>
      </w:r>
      <w:r w:rsidR="00962E67">
        <w:rPr>
          <w:color w:val="000000" w:themeColor="text1"/>
          <w:sz w:val="24"/>
          <w:szCs w:val="24"/>
        </w:rPr>
        <w:t>Kurumdaki Konu</w:t>
      </w:r>
      <w:r w:rsidRPr="00C7181A">
        <w:rPr>
          <w:color w:val="000000" w:themeColor="text1"/>
          <w:sz w:val="24"/>
          <w:szCs w:val="24"/>
        </w:rPr>
        <w:t>mu Bakımından Yüzdeleri</w:t>
      </w:r>
    </w:p>
    <w:p w:rsidR="00197686" w:rsidRPr="0053295F" w:rsidRDefault="004049AD" w:rsidP="0073734C">
      <w:pPr>
        <w:pStyle w:val="KonuBal"/>
        <w:tabs>
          <w:tab w:val="left" w:pos="2410"/>
        </w:tabs>
        <w:spacing w:after="100" w:afterAutospacing="1"/>
        <w:rPr>
          <w:rFonts w:ascii="Times New Roman" w:hAnsi="Times New Roman" w:cs="Times New Roman"/>
          <w:b w:val="0"/>
          <w:bCs w:val="0"/>
          <w:sz w:val="24"/>
          <w:szCs w:val="24"/>
        </w:rPr>
      </w:pPr>
      <w:r>
        <w:rPr>
          <w:noProof/>
        </w:rPr>
        <w:drawing>
          <wp:inline distT="0" distB="0" distL="0" distR="0" wp14:anchorId="2319BFB4" wp14:editId="704DB2D1">
            <wp:extent cx="4572000" cy="27432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74DE5" w:rsidRPr="0053295F" w:rsidRDefault="00074DE5" w:rsidP="00074DE5">
      <w:pPr>
        <w:pStyle w:val="KonuBal"/>
        <w:tabs>
          <w:tab w:val="left" w:pos="2410"/>
        </w:tabs>
        <w:spacing w:after="100" w:afterAutospacing="1"/>
        <w:jc w:val="left"/>
        <w:rPr>
          <w:rFonts w:ascii="Times New Roman" w:hAnsi="Times New Roman" w:cs="Times New Roman"/>
          <w:b w:val="0"/>
          <w:bCs w:val="0"/>
          <w:sz w:val="24"/>
          <w:szCs w:val="24"/>
        </w:rPr>
      </w:pPr>
    </w:p>
    <w:p w:rsidR="00074DE5" w:rsidRDefault="00074DE5" w:rsidP="00074DE5">
      <w:pPr>
        <w:rPr>
          <w:bCs/>
        </w:rPr>
        <w:sectPr w:rsidR="00074DE5" w:rsidSect="00074DE5">
          <w:pgSz w:w="11906" w:h="16838"/>
          <w:pgMar w:top="992" w:right="709" w:bottom="1247" w:left="709" w:header="709" w:footer="709" w:gutter="0"/>
          <w:cols w:space="708"/>
          <w:docGrid w:linePitch="360"/>
        </w:sectPr>
      </w:pPr>
    </w:p>
    <w:p w:rsidR="00074DE5" w:rsidRPr="00677273" w:rsidRDefault="00C029E6" w:rsidP="00074DE5">
      <w:pPr>
        <w:rPr>
          <w:b/>
          <w:bCs/>
        </w:rPr>
      </w:pPr>
      <w:r w:rsidRPr="00677273">
        <w:rPr>
          <w:b/>
          <w:bCs/>
        </w:rPr>
        <w:lastRenderedPageBreak/>
        <w:t xml:space="preserve">Tablo 1 </w:t>
      </w:r>
      <w:r w:rsidR="00677273" w:rsidRPr="00677273">
        <w:rPr>
          <w:b/>
          <w:bCs/>
        </w:rPr>
        <w:t>Ö</w:t>
      </w:r>
      <w:r w:rsidR="00074DE5" w:rsidRPr="00677273">
        <w:rPr>
          <w:b/>
          <w:bCs/>
        </w:rPr>
        <w:t>zellik ve becerilerin önem derecesini</w:t>
      </w:r>
      <w:r w:rsidR="00677273" w:rsidRPr="00677273">
        <w:rPr>
          <w:b/>
          <w:bCs/>
        </w:rPr>
        <w:t>n</w:t>
      </w:r>
      <w:r w:rsidR="00074DE5" w:rsidRPr="00677273">
        <w:rPr>
          <w:b/>
          <w:bCs/>
        </w:rPr>
        <w:t xml:space="preserve"> ve mezunumuzun</w:t>
      </w:r>
      <w:r w:rsidR="00677273" w:rsidRPr="00677273">
        <w:rPr>
          <w:b/>
          <w:bCs/>
        </w:rPr>
        <w:t xml:space="preserve">/stajyerimizin </w:t>
      </w:r>
      <w:r w:rsidR="00074DE5" w:rsidRPr="00677273">
        <w:rPr>
          <w:b/>
          <w:bCs/>
        </w:rPr>
        <w:t xml:space="preserve">bu özellik ve beceriler yönünden </w:t>
      </w:r>
      <w:r w:rsidR="00677273" w:rsidRPr="00677273">
        <w:rPr>
          <w:b/>
          <w:bCs/>
        </w:rPr>
        <w:t>değerlendirilmesi</w:t>
      </w:r>
    </w:p>
    <w:tbl>
      <w:tblPr>
        <w:tblpPr w:leftFromText="141" w:rightFromText="141" w:vertAnchor="page" w:horzAnchor="margin" w:tblpY="738"/>
        <w:tblW w:w="5271"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356"/>
        <w:gridCol w:w="753"/>
        <w:gridCol w:w="805"/>
        <w:gridCol w:w="711"/>
        <w:gridCol w:w="711"/>
        <w:gridCol w:w="760"/>
        <w:gridCol w:w="711"/>
        <w:gridCol w:w="753"/>
        <w:gridCol w:w="711"/>
        <w:gridCol w:w="764"/>
        <w:gridCol w:w="799"/>
        <w:gridCol w:w="798"/>
        <w:gridCol w:w="711"/>
      </w:tblGrid>
      <w:tr w:rsidR="00444785" w:rsidRPr="0053295F" w:rsidTr="00371177">
        <w:trPr>
          <w:cantSplit/>
          <w:trHeight w:val="557"/>
        </w:trPr>
        <w:tc>
          <w:tcPr>
            <w:tcW w:w="6356" w:type="dxa"/>
            <w:vMerge w:val="restart"/>
            <w:tcBorders>
              <w:right w:val="single" w:sz="18" w:space="0" w:color="auto"/>
            </w:tcBorders>
            <w:vAlign w:val="center"/>
          </w:tcPr>
          <w:p w:rsidR="00444785" w:rsidRDefault="00444785" w:rsidP="00444785">
            <w:pPr>
              <w:rPr>
                <w:b/>
                <w:bCs/>
              </w:rPr>
            </w:pPr>
          </w:p>
          <w:p w:rsidR="00444785" w:rsidRPr="0053295F" w:rsidRDefault="00444785" w:rsidP="00444785">
            <w:pPr>
              <w:rPr>
                <w:b/>
                <w:bCs/>
              </w:rPr>
            </w:pPr>
            <w:r w:rsidRPr="0053295F">
              <w:rPr>
                <w:b/>
                <w:bCs/>
              </w:rPr>
              <w:t xml:space="preserve"> BİR </w:t>
            </w:r>
            <w:r>
              <w:rPr>
                <w:b/>
                <w:bCs/>
              </w:rPr>
              <w:t xml:space="preserve">ENDÜSTRİ </w:t>
            </w:r>
            <w:r w:rsidRPr="0053295F">
              <w:rPr>
                <w:b/>
                <w:bCs/>
              </w:rPr>
              <w:t xml:space="preserve">MÜHENDİSİNDE OLMASI GEREKEN </w:t>
            </w:r>
            <w:r>
              <w:rPr>
                <w:b/>
                <w:bCs/>
              </w:rPr>
              <w:t xml:space="preserve">ÖZELLİKLER </w:t>
            </w:r>
            <w:r w:rsidRPr="0053295F">
              <w:rPr>
                <w:b/>
                <w:bCs/>
              </w:rPr>
              <w:t xml:space="preserve">VE </w:t>
            </w:r>
            <w:r>
              <w:rPr>
                <w:b/>
                <w:bCs/>
              </w:rPr>
              <w:t>B</w:t>
            </w:r>
            <w:r w:rsidRPr="0053295F">
              <w:rPr>
                <w:b/>
                <w:bCs/>
              </w:rPr>
              <w:t>ECERİLER</w:t>
            </w:r>
          </w:p>
          <w:p w:rsidR="00444785" w:rsidRDefault="00444785" w:rsidP="00444785">
            <w:pPr>
              <w:jc w:val="center"/>
              <w:rPr>
                <w:b/>
                <w:bCs/>
              </w:rPr>
            </w:pPr>
          </w:p>
        </w:tc>
        <w:tc>
          <w:tcPr>
            <w:tcW w:w="4451" w:type="dxa"/>
            <w:gridSpan w:val="6"/>
            <w:tcBorders>
              <w:top w:val="single" w:sz="18" w:space="0" w:color="auto"/>
              <w:left w:val="single" w:sz="18" w:space="0" w:color="auto"/>
              <w:bottom w:val="single" w:sz="6" w:space="0" w:color="auto"/>
              <w:right w:val="single" w:sz="18" w:space="0" w:color="auto"/>
            </w:tcBorders>
            <w:vAlign w:val="center"/>
          </w:tcPr>
          <w:p w:rsidR="00444785" w:rsidRPr="006B45D0" w:rsidRDefault="00444785" w:rsidP="00444785">
            <w:pPr>
              <w:pStyle w:val="KonuBal"/>
              <w:spacing w:after="100" w:afterAutospacing="1"/>
              <w:rPr>
                <w:rFonts w:ascii="Times New Roman" w:hAnsi="Times New Roman" w:cs="Times New Roman"/>
                <w:bCs w:val="0"/>
                <w:iCs/>
                <w:sz w:val="20"/>
                <w:szCs w:val="24"/>
              </w:rPr>
            </w:pPr>
            <w:r w:rsidRPr="006B45D0">
              <w:rPr>
                <w:rFonts w:ascii="Times New Roman" w:hAnsi="Times New Roman" w:cs="Times New Roman"/>
                <w:bCs w:val="0"/>
                <w:iCs/>
                <w:sz w:val="20"/>
                <w:szCs w:val="24"/>
              </w:rPr>
              <w:t>ÖZELLİĞİN ÖNEM DERECESİ</w:t>
            </w:r>
          </w:p>
        </w:tc>
        <w:tc>
          <w:tcPr>
            <w:tcW w:w="4536" w:type="dxa"/>
            <w:gridSpan w:val="6"/>
            <w:tcBorders>
              <w:left w:val="single" w:sz="18" w:space="0" w:color="auto"/>
            </w:tcBorders>
            <w:vAlign w:val="center"/>
          </w:tcPr>
          <w:p w:rsidR="00444785" w:rsidRPr="006B45D0" w:rsidRDefault="00444785" w:rsidP="00444785">
            <w:pPr>
              <w:pStyle w:val="KonuBal"/>
              <w:spacing w:after="100" w:afterAutospacing="1"/>
              <w:rPr>
                <w:bCs w:val="0"/>
                <w:iCs/>
                <w:sz w:val="20"/>
                <w:szCs w:val="24"/>
              </w:rPr>
            </w:pPr>
            <w:r w:rsidRPr="006B45D0">
              <w:rPr>
                <w:bCs w:val="0"/>
                <w:iCs/>
                <w:sz w:val="20"/>
                <w:szCs w:val="24"/>
              </w:rPr>
              <w:t>MEZUNUMUZUN</w:t>
            </w:r>
            <w:r w:rsidR="00CC4362">
              <w:rPr>
                <w:bCs w:val="0"/>
                <w:iCs/>
                <w:sz w:val="20"/>
                <w:szCs w:val="24"/>
              </w:rPr>
              <w:t>/STAJYERİMİZİN</w:t>
            </w:r>
            <w:r w:rsidRPr="006B45D0">
              <w:rPr>
                <w:bCs w:val="0"/>
                <w:iCs/>
                <w:sz w:val="20"/>
                <w:szCs w:val="24"/>
              </w:rPr>
              <w:t xml:space="preserve"> DURUMU</w:t>
            </w:r>
          </w:p>
        </w:tc>
      </w:tr>
      <w:tr w:rsidR="00444785" w:rsidRPr="0053295F" w:rsidTr="00371177">
        <w:trPr>
          <w:cantSplit/>
          <w:trHeight w:val="1373"/>
        </w:trPr>
        <w:tc>
          <w:tcPr>
            <w:tcW w:w="6356" w:type="dxa"/>
            <w:vMerge/>
            <w:tcBorders>
              <w:right w:val="single" w:sz="18" w:space="0" w:color="auto"/>
            </w:tcBorders>
            <w:vAlign w:val="center"/>
          </w:tcPr>
          <w:p w:rsidR="00444785" w:rsidRPr="0053295F" w:rsidRDefault="00444785" w:rsidP="00444785">
            <w:pPr>
              <w:jc w:val="center"/>
            </w:pPr>
          </w:p>
        </w:tc>
        <w:tc>
          <w:tcPr>
            <w:tcW w:w="753" w:type="dxa"/>
            <w:vMerge w:val="restart"/>
            <w:tcBorders>
              <w:top w:val="single" w:sz="6" w:space="0" w:color="auto"/>
              <w:left w:val="single" w:sz="18" w:space="0" w:color="auto"/>
              <w:bottom w:val="nil"/>
              <w:right w:val="single" w:sz="6" w:space="0" w:color="auto"/>
            </w:tcBorders>
            <w:textDirection w:val="btLr"/>
            <w:vAlign w:val="center"/>
          </w:tcPr>
          <w:p w:rsidR="00444785" w:rsidRPr="00E74555" w:rsidRDefault="00444785" w:rsidP="00FB7E29">
            <w:pPr>
              <w:pStyle w:val="KonuBal"/>
              <w:ind w:left="113" w:right="113"/>
              <w:jc w:val="left"/>
              <w:rPr>
                <w:rFonts w:ascii="Times New Roman" w:hAnsi="Times New Roman" w:cs="Times New Roman"/>
                <w:b w:val="0"/>
                <w:bCs w:val="0"/>
                <w:sz w:val="20"/>
                <w:szCs w:val="20"/>
              </w:rPr>
            </w:pPr>
            <w:r w:rsidRPr="00E74555">
              <w:rPr>
                <w:rFonts w:ascii="Times New Roman" w:hAnsi="Times New Roman" w:cs="Times New Roman"/>
                <w:b w:val="0"/>
                <w:bCs w:val="0"/>
                <w:iCs/>
                <w:sz w:val="20"/>
                <w:szCs w:val="20"/>
              </w:rPr>
              <w:t>Emin değilim</w:t>
            </w:r>
          </w:p>
        </w:tc>
        <w:tc>
          <w:tcPr>
            <w:tcW w:w="805" w:type="dxa"/>
            <w:tcBorders>
              <w:top w:val="single" w:sz="6" w:space="0" w:color="auto"/>
              <w:left w:val="single" w:sz="6" w:space="0" w:color="auto"/>
              <w:bottom w:val="single" w:sz="6" w:space="0" w:color="auto"/>
            </w:tcBorders>
            <w:textDirection w:val="btLr"/>
          </w:tcPr>
          <w:p w:rsidR="00444785" w:rsidRPr="007D0D24" w:rsidRDefault="00444785" w:rsidP="00FB7E29">
            <w:pPr>
              <w:pStyle w:val="KonuBal"/>
              <w:spacing w:after="100" w:afterAutospacing="1"/>
              <w:ind w:left="113" w:right="113"/>
              <w:jc w:val="left"/>
              <w:rPr>
                <w:rFonts w:ascii="Times New Roman" w:hAnsi="Times New Roman" w:cs="Times New Roman"/>
                <w:b w:val="0"/>
                <w:bCs w:val="0"/>
                <w:iCs/>
                <w:sz w:val="20"/>
                <w:szCs w:val="20"/>
              </w:rPr>
            </w:pPr>
            <w:r w:rsidRPr="007D0D24">
              <w:rPr>
                <w:rFonts w:ascii="Times New Roman" w:hAnsi="Times New Roman" w:cs="Times New Roman"/>
                <w:b w:val="0"/>
                <w:bCs w:val="0"/>
                <w:iCs/>
                <w:sz w:val="20"/>
                <w:szCs w:val="20"/>
              </w:rPr>
              <w:t>Çok düşük</w:t>
            </w:r>
          </w:p>
          <w:p w:rsidR="00444785" w:rsidRPr="007D0D24" w:rsidRDefault="00444785" w:rsidP="00FB7E29">
            <w:pPr>
              <w:pStyle w:val="KonuBal"/>
              <w:spacing w:after="100" w:afterAutospacing="1"/>
              <w:ind w:left="113" w:right="113"/>
              <w:jc w:val="left"/>
              <w:rPr>
                <w:rFonts w:ascii="Times New Roman" w:hAnsi="Times New Roman" w:cs="Times New Roman"/>
                <w:b w:val="0"/>
                <w:bCs w:val="0"/>
                <w:iCs/>
                <w:sz w:val="20"/>
                <w:szCs w:val="20"/>
              </w:rPr>
            </w:pPr>
          </w:p>
        </w:tc>
        <w:tc>
          <w:tcPr>
            <w:tcW w:w="711" w:type="dxa"/>
            <w:tcBorders>
              <w:top w:val="single" w:sz="6" w:space="0" w:color="auto"/>
            </w:tcBorders>
            <w:textDirection w:val="btLr"/>
          </w:tcPr>
          <w:p w:rsidR="00444785" w:rsidRPr="007D0D24" w:rsidRDefault="00444785" w:rsidP="00FB7E29">
            <w:pPr>
              <w:pStyle w:val="KonuBal"/>
              <w:spacing w:after="100" w:afterAutospacing="1"/>
              <w:ind w:left="113" w:right="113"/>
              <w:jc w:val="left"/>
              <w:rPr>
                <w:rFonts w:ascii="Times New Roman" w:hAnsi="Times New Roman" w:cs="Times New Roman"/>
                <w:b w:val="0"/>
                <w:bCs w:val="0"/>
                <w:iCs/>
                <w:sz w:val="20"/>
                <w:szCs w:val="20"/>
              </w:rPr>
            </w:pPr>
            <w:r w:rsidRPr="007D0D24">
              <w:rPr>
                <w:rFonts w:ascii="Times New Roman" w:hAnsi="Times New Roman" w:cs="Times New Roman"/>
                <w:b w:val="0"/>
                <w:bCs w:val="0"/>
                <w:iCs/>
                <w:sz w:val="20"/>
                <w:szCs w:val="20"/>
              </w:rPr>
              <w:t>Düşük</w:t>
            </w:r>
          </w:p>
        </w:tc>
        <w:tc>
          <w:tcPr>
            <w:tcW w:w="711" w:type="dxa"/>
            <w:tcBorders>
              <w:top w:val="single" w:sz="6" w:space="0" w:color="auto"/>
            </w:tcBorders>
            <w:textDirection w:val="btLr"/>
          </w:tcPr>
          <w:p w:rsidR="00444785" w:rsidRPr="007D0D24" w:rsidRDefault="00444785" w:rsidP="00FB7E29">
            <w:pPr>
              <w:pStyle w:val="KonuBal"/>
              <w:spacing w:after="100" w:afterAutospacing="1"/>
              <w:ind w:left="113" w:right="113"/>
              <w:jc w:val="left"/>
              <w:rPr>
                <w:rFonts w:ascii="Times New Roman" w:hAnsi="Times New Roman" w:cs="Times New Roman"/>
                <w:b w:val="0"/>
                <w:bCs w:val="0"/>
                <w:iCs/>
                <w:sz w:val="20"/>
                <w:szCs w:val="20"/>
              </w:rPr>
            </w:pPr>
            <w:r w:rsidRPr="007D0D24">
              <w:rPr>
                <w:rFonts w:ascii="Times New Roman" w:hAnsi="Times New Roman" w:cs="Times New Roman"/>
                <w:b w:val="0"/>
                <w:bCs w:val="0"/>
                <w:iCs/>
                <w:sz w:val="20"/>
                <w:szCs w:val="20"/>
              </w:rPr>
              <w:t>Orta</w:t>
            </w:r>
          </w:p>
        </w:tc>
        <w:tc>
          <w:tcPr>
            <w:tcW w:w="760" w:type="dxa"/>
            <w:tcBorders>
              <w:top w:val="single" w:sz="6" w:space="0" w:color="auto"/>
            </w:tcBorders>
            <w:textDirection w:val="btLr"/>
          </w:tcPr>
          <w:p w:rsidR="00444785" w:rsidRPr="007D0D24" w:rsidRDefault="00444785" w:rsidP="00FB7E29">
            <w:pPr>
              <w:pStyle w:val="KonuBal"/>
              <w:spacing w:after="100" w:afterAutospacing="1"/>
              <w:ind w:left="113" w:right="113"/>
              <w:jc w:val="left"/>
              <w:rPr>
                <w:rFonts w:ascii="Times New Roman" w:hAnsi="Times New Roman" w:cs="Times New Roman"/>
                <w:b w:val="0"/>
                <w:bCs w:val="0"/>
                <w:iCs/>
                <w:sz w:val="20"/>
                <w:szCs w:val="20"/>
              </w:rPr>
            </w:pPr>
            <w:r w:rsidRPr="007D0D24">
              <w:rPr>
                <w:rFonts w:ascii="Times New Roman" w:hAnsi="Times New Roman" w:cs="Times New Roman"/>
                <w:b w:val="0"/>
                <w:bCs w:val="0"/>
                <w:iCs/>
                <w:sz w:val="20"/>
                <w:szCs w:val="20"/>
              </w:rPr>
              <w:t>Yüksek</w:t>
            </w:r>
          </w:p>
        </w:tc>
        <w:tc>
          <w:tcPr>
            <w:tcW w:w="711" w:type="dxa"/>
            <w:tcBorders>
              <w:top w:val="single" w:sz="6" w:space="0" w:color="auto"/>
              <w:bottom w:val="single" w:sz="6" w:space="0" w:color="auto"/>
              <w:right w:val="single" w:sz="18" w:space="0" w:color="auto"/>
            </w:tcBorders>
            <w:textDirection w:val="btLr"/>
          </w:tcPr>
          <w:p w:rsidR="00444785" w:rsidRPr="007D0D24" w:rsidRDefault="00444785" w:rsidP="00FB7E29">
            <w:pPr>
              <w:pStyle w:val="KonuBal"/>
              <w:spacing w:after="100" w:afterAutospacing="1"/>
              <w:ind w:left="113" w:right="113"/>
              <w:jc w:val="left"/>
              <w:rPr>
                <w:rFonts w:ascii="Times New Roman" w:hAnsi="Times New Roman" w:cs="Times New Roman"/>
                <w:b w:val="0"/>
                <w:bCs w:val="0"/>
                <w:iCs/>
                <w:sz w:val="20"/>
                <w:szCs w:val="20"/>
              </w:rPr>
            </w:pPr>
            <w:r w:rsidRPr="007D0D24">
              <w:rPr>
                <w:rFonts w:ascii="Times New Roman" w:hAnsi="Times New Roman" w:cs="Times New Roman"/>
                <w:b w:val="0"/>
                <w:bCs w:val="0"/>
                <w:iCs/>
                <w:sz w:val="20"/>
                <w:szCs w:val="20"/>
              </w:rPr>
              <w:t>Çok Yüksek</w:t>
            </w:r>
          </w:p>
        </w:tc>
        <w:tc>
          <w:tcPr>
            <w:tcW w:w="753" w:type="dxa"/>
            <w:vMerge w:val="restart"/>
            <w:tcBorders>
              <w:left w:val="single" w:sz="18" w:space="0" w:color="auto"/>
            </w:tcBorders>
            <w:textDirection w:val="btLr"/>
            <w:vAlign w:val="center"/>
          </w:tcPr>
          <w:p w:rsidR="00444785" w:rsidRPr="00E74555" w:rsidRDefault="00444785" w:rsidP="00FB7E29">
            <w:pPr>
              <w:pStyle w:val="KonuBal"/>
              <w:ind w:left="113" w:right="113"/>
              <w:jc w:val="left"/>
              <w:rPr>
                <w:rFonts w:ascii="Times New Roman" w:hAnsi="Times New Roman" w:cs="Times New Roman"/>
                <w:b w:val="0"/>
                <w:bCs w:val="0"/>
                <w:sz w:val="20"/>
                <w:szCs w:val="20"/>
              </w:rPr>
            </w:pPr>
            <w:r w:rsidRPr="00E74555">
              <w:rPr>
                <w:rFonts w:ascii="Times New Roman" w:hAnsi="Times New Roman" w:cs="Times New Roman"/>
                <w:b w:val="0"/>
                <w:bCs w:val="0"/>
                <w:iCs/>
                <w:sz w:val="20"/>
                <w:szCs w:val="20"/>
              </w:rPr>
              <w:t>Emin değilim</w:t>
            </w:r>
          </w:p>
        </w:tc>
        <w:tc>
          <w:tcPr>
            <w:tcW w:w="711" w:type="dxa"/>
            <w:textDirection w:val="btLr"/>
          </w:tcPr>
          <w:p w:rsidR="00444785" w:rsidRPr="00E74555" w:rsidRDefault="00444785" w:rsidP="00FB7E29">
            <w:pPr>
              <w:pStyle w:val="KonuBal"/>
              <w:spacing w:after="100" w:afterAutospacing="1"/>
              <w:ind w:left="113" w:right="113"/>
              <w:jc w:val="left"/>
              <w:rPr>
                <w:rFonts w:ascii="Times New Roman" w:hAnsi="Times New Roman" w:cs="Times New Roman"/>
                <w:b w:val="0"/>
                <w:bCs w:val="0"/>
                <w:iCs/>
                <w:sz w:val="20"/>
                <w:szCs w:val="20"/>
              </w:rPr>
            </w:pPr>
            <w:r w:rsidRPr="00E74555">
              <w:rPr>
                <w:rFonts w:ascii="Times New Roman" w:hAnsi="Times New Roman" w:cs="Times New Roman"/>
                <w:b w:val="0"/>
                <w:bCs w:val="0"/>
                <w:iCs/>
                <w:sz w:val="20"/>
                <w:szCs w:val="20"/>
              </w:rPr>
              <w:t>Zayıf</w:t>
            </w:r>
          </w:p>
        </w:tc>
        <w:tc>
          <w:tcPr>
            <w:tcW w:w="764" w:type="dxa"/>
            <w:textDirection w:val="btLr"/>
          </w:tcPr>
          <w:p w:rsidR="00444785" w:rsidRPr="00E74555" w:rsidRDefault="00444785" w:rsidP="00FB7E29">
            <w:pPr>
              <w:pStyle w:val="KonuBal"/>
              <w:spacing w:after="100" w:afterAutospacing="1"/>
              <w:ind w:left="113" w:right="113"/>
              <w:jc w:val="left"/>
              <w:rPr>
                <w:rFonts w:ascii="Times New Roman" w:hAnsi="Times New Roman" w:cs="Times New Roman"/>
                <w:b w:val="0"/>
                <w:bCs w:val="0"/>
                <w:iCs/>
                <w:sz w:val="20"/>
                <w:szCs w:val="20"/>
              </w:rPr>
            </w:pPr>
            <w:r w:rsidRPr="00E74555">
              <w:rPr>
                <w:rFonts w:ascii="Times New Roman" w:hAnsi="Times New Roman" w:cs="Times New Roman"/>
                <w:b w:val="0"/>
                <w:bCs w:val="0"/>
                <w:iCs/>
                <w:sz w:val="20"/>
                <w:szCs w:val="20"/>
              </w:rPr>
              <w:t>Orta</w:t>
            </w:r>
          </w:p>
        </w:tc>
        <w:tc>
          <w:tcPr>
            <w:tcW w:w="799" w:type="dxa"/>
            <w:textDirection w:val="btLr"/>
          </w:tcPr>
          <w:p w:rsidR="00444785" w:rsidRPr="00E74555" w:rsidRDefault="00444785" w:rsidP="00FB7E29">
            <w:pPr>
              <w:pStyle w:val="KonuBal"/>
              <w:spacing w:after="100" w:afterAutospacing="1"/>
              <w:ind w:left="113" w:right="113"/>
              <w:jc w:val="left"/>
              <w:rPr>
                <w:rFonts w:ascii="Times New Roman" w:hAnsi="Times New Roman" w:cs="Times New Roman"/>
                <w:b w:val="0"/>
                <w:bCs w:val="0"/>
                <w:iCs/>
                <w:sz w:val="20"/>
                <w:szCs w:val="20"/>
              </w:rPr>
            </w:pPr>
            <w:r w:rsidRPr="00E74555">
              <w:rPr>
                <w:rFonts w:ascii="Times New Roman" w:hAnsi="Times New Roman" w:cs="Times New Roman"/>
                <w:b w:val="0"/>
                <w:bCs w:val="0"/>
                <w:iCs/>
                <w:sz w:val="20"/>
                <w:szCs w:val="20"/>
              </w:rPr>
              <w:t>İyi</w:t>
            </w:r>
          </w:p>
        </w:tc>
        <w:tc>
          <w:tcPr>
            <w:tcW w:w="798" w:type="dxa"/>
            <w:textDirection w:val="btLr"/>
          </w:tcPr>
          <w:p w:rsidR="00444785" w:rsidRPr="00E74555" w:rsidRDefault="00444785" w:rsidP="00FB7E29">
            <w:pPr>
              <w:pStyle w:val="KonuBal"/>
              <w:spacing w:after="100" w:afterAutospacing="1"/>
              <w:ind w:left="113" w:right="113"/>
              <w:jc w:val="left"/>
              <w:rPr>
                <w:rFonts w:ascii="Times New Roman" w:hAnsi="Times New Roman" w:cs="Times New Roman"/>
                <w:b w:val="0"/>
                <w:bCs w:val="0"/>
                <w:iCs/>
                <w:sz w:val="20"/>
                <w:szCs w:val="20"/>
              </w:rPr>
            </w:pPr>
            <w:r w:rsidRPr="00E74555">
              <w:rPr>
                <w:rFonts w:ascii="Times New Roman" w:hAnsi="Times New Roman" w:cs="Times New Roman"/>
                <w:b w:val="0"/>
                <w:bCs w:val="0"/>
                <w:iCs/>
                <w:sz w:val="20"/>
                <w:szCs w:val="20"/>
              </w:rPr>
              <w:t>Çok İyi</w:t>
            </w:r>
          </w:p>
        </w:tc>
        <w:tc>
          <w:tcPr>
            <w:tcW w:w="711" w:type="dxa"/>
            <w:textDirection w:val="btLr"/>
          </w:tcPr>
          <w:p w:rsidR="00444785" w:rsidRPr="00E74555" w:rsidRDefault="00444785" w:rsidP="00FB7E29">
            <w:pPr>
              <w:pStyle w:val="KonuBal"/>
              <w:spacing w:after="100" w:afterAutospacing="1"/>
              <w:ind w:left="113" w:right="113"/>
              <w:jc w:val="left"/>
              <w:rPr>
                <w:rFonts w:ascii="Times New Roman" w:hAnsi="Times New Roman" w:cs="Times New Roman"/>
                <w:b w:val="0"/>
                <w:bCs w:val="0"/>
                <w:iCs/>
                <w:sz w:val="20"/>
                <w:szCs w:val="20"/>
              </w:rPr>
            </w:pPr>
            <w:r w:rsidRPr="00E74555">
              <w:rPr>
                <w:rFonts w:ascii="Times New Roman" w:hAnsi="Times New Roman" w:cs="Times New Roman"/>
                <w:b w:val="0"/>
                <w:bCs w:val="0"/>
                <w:iCs/>
                <w:sz w:val="20"/>
                <w:szCs w:val="20"/>
              </w:rPr>
              <w:t>Mükemmel</w:t>
            </w:r>
          </w:p>
        </w:tc>
      </w:tr>
      <w:tr w:rsidR="00444785" w:rsidRPr="00A22435" w:rsidTr="00371177">
        <w:trPr>
          <w:cantSplit/>
          <w:trHeight w:val="262"/>
        </w:trPr>
        <w:tc>
          <w:tcPr>
            <w:tcW w:w="6356" w:type="dxa"/>
            <w:vMerge/>
            <w:tcBorders>
              <w:right w:val="single" w:sz="18" w:space="0" w:color="auto"/>
            </w:tcBorders>
            <w:vAlign w:val="center"/>
          </w:tcPr>
          <w:p w:rsidR="00444785" w:rsidRPr="00A22435" w:rsidRDefault="00444785" w:rsidP="00444785">
            <w:pPr>
              <w:jc w:val="both"/>
            </w:pPr>
          </w:p>
        </w:tc>
        <w:tc>
          <w:tcPr>
            <w:tcW w:w="753" w:type="dxa"/>
            <w:vMerge/>
            <w:tcBorders>
              <w:top w:val="single" w:sz="18" w:space="0" w:color="auto"/>
              <w:left w:val="single" w:sz="18" w:space="0" w:color="auto"/>
              <w:bottom w:val="single" w:sz="6" w:space="0" w:color="auto"/>
              <w:right w:val="single" w:sz="6" w:space="0" w:color="auto"/>
            </w:tcBorders>
            <w:vAlign w:val="center"/>
          </w:tcPr>
          <w:p w:rsidR="00444785" w:rsidRPr="00E74555" w:rsidRDefault="00444785" w:rsidP="00444785">
            <w:pPr>
              <w:pStyle w:val="KonuBal"/>
              <w:rPr>
                <w:rFonts w:ascii="Times New Roman" w:hAnsi="Times New Roman" w:cs="Times New Roman"/>
                <w:b w:val="0"/>
                <w:bCs w:val="0"/>
                <w:sz w:val="20"/>
                <w:szCs w:val="20"/>
              </w:rPr>
            </w:pPr>
          </w:p>
        </w:tc>
        <w:tc>
          <w:tcPr>
            <w:tcW w:w="805" w:type="dxa"/>
            <w:tcBorders>
              <w:top w:val="single" w:sz="6" w:space="0" w:color="auto"/>
              <w:left w:val="single" w:sz="6" w:space="0" w:color="auto"/>
              <w:bottom w:val="single" w:sz="6" w:space="0" w:color="auto"/>
            </w:tcBorders>
            <w:vAlign w:val="center"/>
          </w:tcPr>
          <w:p w:rsidR="00444785" w:rsidRPr="00E74555" w:rsidRDefault="00444785" w:rsidP="00444785">
            <w:pPr>
              <w:pStyle w:val="KonuBal"/>
              <w:rPr>
                <w:rFonts w:ascii="Times New Roman" w:hAnsi="Times New Roman" w:cs="Times New Roman"/>
                <w:b w:val="0"/>
                <w:sz w:val="20"/>
                <w:szCs w:val="20"/>
              </w:rPr>
            </w:pPr>
            <w:r w:rsidRPr="00E74555">
              <w:rPr>
                <w:rFonts w:ascii="Times New Roman" w:hAnsi="Times New Roman" w:cs="Times New Roman"/>
                <w:b w:val="0"/>
                <w:sz w:val="20"/>
                <w:szCs w:val="20"/>
              </w:rPr>
              <w:t>1</w:t>
            </w:r>
          </w:p>
        </w:tc>
        <w:tc>
          <w:tcPr>
            <w:tcW w:w="711" w:type="dxa"/>
            <w:tcBorders>
              <w:bottom w:val="single" w:sz="6" w:space="0" w:color="auto"/>
            </w:tcBorders>
            <w:vAlign w:val="center"/>
          </w:tcPr>
          <w:p w:rsidR="00444785" w:rsidRPr="00E74555" w:rsidRDefault="00444785" w:rsidP="00444785">
            <w:pPr>
              <w:pStyle w:val="KonuBal"/>
              <w:rPr>
                <w:rFonts w:ascii="Times New Roman" w:hAnsi="Times New Roman" w:cs="Times New Roman"/>
                <w:b w:val="0"/>
                <w:sz w:val="20"/>
                <w:szCs w:val="20"/>
              </w:rPr>
            </w:pPr>
            <w:r w:rsidRPr="00E74555">
              <w:rPr>
                <w:rFonts w:ascii="Times New Roman" w:hAnsi="Times New Roman" w:cs="Times New Roman"/>
                <w:b w:val="0"/>
                <w:sz w:val="20"/>
                <w:szCs w:val="20"/>
              </w:rPr>
              <w:t>2</w:t>
            </w:r>
          </w:p>
        </w:tc>
        <w:tc>
          <w:tcPr>
            <w:tcW w:w="711" w:type="dxa"/>
            <w:tcBorders>
              <w:bottom w:val="single" w:sz="6" w:space="0" w:color="auto"/>
            </w:tcBorders>
            <w:vAlign w:val="center"/>
          </w:tcPr>
          <w:p w:rsidR="00444785" w:rsidRPr="00E74555" w:rsidRDefault="00444785" w:rsidP="00444785">
            <w:pPr>
              <w:pStyle w:val="KonuBal"/>
              <w:rPr>
                <w:rFonts w:ascii="Times New Roman" w:hAnsi="Times New Roman" w:cs="Times New Roman"/>
                <w:b w:val="0"/>
                <w:sz w:val="20"/>
                <w:szCs w:val="20"/>
              </w:rPr>
            </w:pPr>
            <w:r w:rsidRPr="00E74555">
              <w:rPr>
                <w:rFonts w:ascii="Times New Roman" w:hAnsi="Times New Roman" w:cs="Times New Roman"/>
                <w:b w:val="0"/>
                <w:sz w:val="20"/>
                <w:szCs w:val="20"/>
              </w:rPr>
              <w:t>3</w:t>
            </w:r>
          </w:p>
        </w:tc>
        <w:tc>
          <w:tcPr>
            <w:tcW w:w="760" w:type="dxa"/>
            <w:tcBorders>
              <w:bottom w:val="single" w:sz="6" w:space="0" w:color="auto"/>
            </w:tcBorders>
            <w:vAlign w:val="center"/>
          </w:tcPr>
          <w:p w:rsidR="00444785" w:rsidRPr="00E74555" w:rsidRDefault="00444785" w:rsidP="00444785">
            <w:pPr>
              <w:pStyle w:val="KonuBal"/>
              <w:rPr>
                <w:rFonts w:ascii="Times New Roman" w:hAnsi="Times New Roman" w:cs="Times New Roman"/>
                <w:b w:val="0"/>
                <w:sz w:val="20"/>
                <w:szCs w:val="20"/>
              </w:rPr>
            </w:pPr>
            <w:r w:rsidRPr="00E74555">
              <w:rPr>
                <w:rFonts w:ascii="Times New Roman" w:hAnsi="Times New Roman" w:cs="Times New Roman"/>
                <w:b w:val="0"/>
                <w:sz w:val="20"/>
                <w:szCs w:val="20"/>
              </w:rPr>
              <w:t>4</w:t>
            </w:r>
          </w:p>
        </w:tc>
        <w:tc>
          <w:tcPr>
            <w:tcW w:w="711" w:type="dxa"/>
            <w:tcBorders>
              <w:top w:val="single" w:sz="6" w:space="0" w:color="auto"/>
              <w:bottom w:val="single" w:sz="6" w:space="0" w:color="auto"/>
              <w:right w:val="single" w:sz="18" w:space="0" w:color="auto"/>
            </w:tcBorders>
            <w:vAlign w:val="center"/>
          </w:tcPr>
          <w:p w:rsidR="00444785" w:rsidRPr="00E74555" w:rsidRDefault="00444785" w:rsidP="00444785">
            <w:pPr>
              <w:pStyle w:val="KonuBal"/>
              <w:rPr>
                <w:rFonts w:ascii="Times New Roman" w:hAnsi="Times New Roman" w:cs="Times New Roman"/>
                <w:b w:val="0"/>
                <w:sz w:val="20"/>
                <w:szCs w:val="20"/>
              </w:rPr>
            </w:pPr>
            <w:r w:rsidRPr="00E74555">
              <w:rPr>
                <w:rFonts w:ascii="Times New Roman" w:hAnsi="Times New Roman" w:cs="Times New Roman"/>
                <w:b w:val="0"/>
                <w:sz w:val="20"/>
                <w:szCs w:val="20"/>
              </w:rPr>
              <w:t>5</w:t>
            </w:r>
          </w:p>
        </w:tc>
        <w:tc>
          <w:tcPr>
            <w:tcW w:w="753" w:type="dxa"/>
            <w:vMerge/>
            <w:tcBorders>
              <w:left w:val="single" w:sz="18" w:space="0" w:color="auto"/>
            </w:tcBorders>
            <w:vAlign w:val="center"/>
          </w:tcPr>
          <w:p w:rsidR="00444785" w:rsidRPr="00E74555" w:rsidRDefault="00444785" w:rsidP="00444785">
            <w:pPr>
              <w:pStyle w:val="KonuBal"/>
              <w:rPr>
                <w:rFonts w:ascii="Times New Roman" w:hAnsi="Times New Roman" w:cs="Times New Roman"/>
                <w:b w:val="0"/>
                <w:bCs w:val="0"/>
                <w:sz w:val="20"/>
                <w:szCs w:val="20"/>
              </w:rPr>
            </w:pPr>
          </w:p>
        </w:tc>
        <w:tc>
          <w:tcPr>
            <w:tcW w:w="711" w:type="dxa"/>
            <w:vAlign w:val="center"/>
          </w:tcPr>
          <w:p w:rsidR="00444785" w:rsidRPr="00E74555" w:rsidRDefault="00444785" w:rsidP="00444785">
            <w:pPr>
              <w:pStyle w:val="KonuBal"/>
              <w:rPr>
                <w:rFonts w:ascii="Times New Roman" w:hAnsi="Times New Roman" w:cs="Times New Roman"/>
                <w:b w:val="0"/>
                <w:sz w:val="20"/>
                <w:szCs w:val="20"/>
              </w:rPr>
            </w:pPr>
            <w:r w:rsidRPr="00E74555">
              <w:rPr>
                <w:rFonts w:ascii="Times New Roman" w:hAnsi="Times New Roman" w:cs="Times New Roman"/>
                <w:b w:val="0"/>
                <w:sz w:val="20"/>
                <w:szCs w:val="20"/>
              </w:rPr>
              <w:t>1</w:t>
            </w:r>
          </w:p>
        </w:tc>
        <w:tc>
          <w:tcPr>
            <w:tcW w:w="764" w:type="dxa"/>
            <w:vAlign w:val="center"/>
          </w:tcPr>
          <w:p w:rsidR="00444785" w:rsidRPr="00E74555" w:rsidRDefault="00444785" w:rsidP="00444785">
            <w:pPr>
              <w:pStyle w:val="KonuBal"/>
              <w:rPr>
                <w:rFonts w:ascii="Times New Roman" w:hAnsi="Times New Roman" w:cs="Times New Roman"/>
                <w:b w:val="0"/>
                <w:sz w:val="20"/>
                <w:szCs w:val="20"/>
              </w:rPr>
            </w:pPr>
            <w:r w:rsidRPr="00E74555">
              <w:rPr>
                <w:rFonts w:ascii="Times New Roman" w:hAnsi="Times New Roman" w:cs="Times New Roman"/>
                <w:b w:val="0"/>
                <w:sz w:val="20"/>
                <w:szCs w:val="20"/>
              </w:rPr>
              <w:t>2</w:t>
            </w:r>
          </w:p>
        </w:tc>
        <w:tc>
          <w:tcPr>
            <w:tcW w:w="799" w:type="dxa"/>
            <w:vAlign w:val="center"/>
          </w:tcPr>
          <w:p w:rsidR="00444785" w:rsidRPr="00E74555" w:rsidRDefault="00444785" w:rsidP="00444785">
            <w:pPr>
              <w:pStyle w:val="KonuBal"/>
              <w:rPr>
                <w:rFonts w:ascii="Times New Roman" w:hAnsi="Times New Roman" w:cs="Times New Roman"/>
                <w:b w:val="0"/>
                <w:sz w:val="20"/>
                <w:szCs w:val="20"/>
              </w:rPr>
            </w:pPr>
            <w:r w:rsidRPr="00E74555">
              <w:rPr>
                <w:rFonts w:ascii="Times New Roman" w:hAnsi="Times New Roman" w:cs="Times New Roman"/>
                <w:b w:val="0"/>
                <w:sz w:val="20"/>
                <w:szCs w:val="20"/>
              </w:rPr>
              <w:t>3</w:t>
            </w:r>
          </w:p>
        </w:tc>
        <w:tc>
          <w:tcPr>
            <w:tcW w:w="798" w:type="dxa"/>
            <w:vAlign w:val="center"/>
          </w:tcPr>
          <w:p w:rsidR="00444785" w:rsidRPr="00E74555" w:rsidRDefault="00444785" w:rsidP="00444785">
            <w:pPr>
              <w:pStyle w:val="KonuBal"/>
              <w:rPr>
                <w:rFonts w:ascii="Times New Roman" w:hAnsi="Times New Roman" w:cs="Times New Roman"/>
                <w:b w:val="0"/>
                <w:sz w:val="20"/>
                <w:szCs w:val="20"/>
              </w:rPr>
            </w:pPr>
            <w:r w:rsidRPr="00E74555">
              <w:rPr>
                <w:rFonts w:ascii="Times New Roman" w:hAnsi="Times New Roman" w:cs="Times New Roman"/>
                <w:b w:val="0"/>
                <w:sz w:val="20"/>
                <w:szCs w:val="20"/>
              </w:rPr>
              <w:t>4</w:t>
            </w:r>
          </w:p>
        </w:tc>
        <w:tc>
          <w:tcPr>
            <w:tcW w:w="711" w:type="dxa"/>
            <w:vAlign w:val="center"/>
          </w:tcPr>
          <w:p w:rsidR="00444785" w:rsidRPr="00E74555" w:rsidRDefault="00444785" w:rsidP="00444785">
            <w:pPr>
              <w:pStyle w:val="KonuBal"/>
              <w:rPr>
                <w:rFonts w:ascii="Times New Roman" w:hAnsi="Times New Roman" w:cs="Times New Roman"/>
                <w:b w:val="0"/>
                <w:sz w:val="20"/>
                <w:szCs w:val="20"/>
              </w:rPr>
            </w:pPr>
            <w:r w:rsidRPr="00E74555">
              <w:rPr>
                <w:rFonts w:ascii="Times New Roman" w:hAnsi="Times New Roman" w:cs="Times New Roman"/>
                <w:b w:val="0"/>
                <w:sz w:val="20"/>
                <w:szCs w:val="20"/>
              </w:rPr>
              <w:t>5</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pPr>
              <w:jc w:val="both"/>
            </w:pPr>
            <w:r w:rsidRPr="003153FC">
              <w:t>1. Araştırmacı olması</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0,02</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0,36</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0,60</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0,03</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0,22</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0,38</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0,36</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pPr>
              <w:jc w:val="both"/>
            </w:pPr>
            <w:r w:rsidRPr="003153FC">
              <w:t>2. Disiplinli olması</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0,02</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0,35</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0,63</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0,06</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0,16</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0,32</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0,47</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pPr>
              <w:jc w:val="both"/>
            </w:pPr>
            <w:r w:rsidRPr="003153FC">
              <w:t>3. İletişim kurma becerisi ve takım çalışmasına yatkın olması</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0,02</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0,21</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0,77</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0,04</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0,12</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0,38</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0,45</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r w:rsidRPr="003153FC">
              <w:t>4. Bilgisini anlaşılır şekilde yazılı ve sözlü olarak ifade edebilmesi</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0,30</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0,69</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0,03</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0,16</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0,36</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0,44</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pPr>
              <w:jc w:val="both"/>
            </w:pPr>
            <w:r w:rsidRPr="003153FC">
              <w:t>5. Analitik düşünme ve bilgiyi etkin kullanma becerisine sahip olması</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0,03</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0,33</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0,64</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0,20</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0,36</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0,43</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pPr>
              <w:jc w:val="both"/>
            </w:pPr>
            <w:r>
              <w:t>6. Proje, risk</w:t>
            </w:r>
            <w:r w:rsidRPr="00DA36A0">
              <w:t xml:space="preserve"> ve değişiklik yönetimi gibi iş hayatındaki uygulamalar hakkında bi</w:t>
            </w:r>
            <w:r>
              <w:t xml:space="preserve">lgi </w:t>
            </w:r>
            <w:r w:rsidRPr="00DA36A0">
              <w:t>ve sürdürebilir kalkınma hakkında farkındalık</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0,08</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0,35</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0,57</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0,10</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0,18</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0,36</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0,36</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pPr>
              <w:jc w:val="both"/>
            </w:pPr>
            <w:r w:rsidRPr="003153FC">
              <w:t>7. Temel mühendislik bilgi düzeyinin yüksek olması</w:t>
            </w:r>
            <w:r>
              <w:t xml:space="preserve"> ve bu bilgiyi ilgili sorunları çözmek için kullanabilme becerisi</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0,10</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0,33</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0,56</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0,08</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0,20</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0,37</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0,35</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pPr>
              <w:jc w:val="both"/>
            </w:pPr>
            <w:r w:rsidRPr="003153FC">
              <w:t>8.Yabancı dil bilgisinin yeterli düzeyde olması</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0,17</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0,47</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0,36</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0,12</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0,08</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0,29</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0,30</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0,20</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pPr>
              <w:jc w:val="both"/>
            </w:pPr>
            <w:r>
              <w:t>9. Modern tasarım yöntemlerini, teknik ve araçları seçme ve kullanma becerisi</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0,20</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0,41</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0,38</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0,03</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0,09</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0,19</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0,38</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0,30</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pPr>
              <w:jc w:val="both"/>
            </w:pPr>
            <w:r>
              <w:t>10</w:t>
            </w:r>
            <w:r w:rsidRPr="003153FC">
              <w:t>. Bilgisayar ve yeni teknolojileri kullanma becerisi</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0,10</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0,31</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0,59</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0,02</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0,02</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0,26</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0,26</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0,44</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r>
              <w:t>11</w:t>
            </w:r>
            <w:r w:rsidRPr="003153FC">
              <w:t>.Teknolojik gelişime açık ve konusunda uzmanlaşmış olması</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0,08</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0,33</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0,59</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0,06</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0,16</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0,40</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0,37</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r>
              <w:t>12</w:t>
            </w:r>
            <w:r w:rsidRPr="003153FC">
              <w:t xml:space="preserve">. </w:t>
            </w:r>
            <w:r>
              <w:t>Yaşam boyu öğrenmeyi ve k</w:t>
            </w:r>
            <w:r w:rsidRPr="003153FC">
              <w:t>işisel gelişimi önemsemesi</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0,04</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0,25</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0,71</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0,22</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0,29</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0,48</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r>
              <w:t>13</w:t>
            </w:r>
            <w:r w:rsidRPr="003153FC">
              <w:t xml:space="preserve">. Organizasyon kapasitesinin yüksek olması </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0,11</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0,24</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0,63</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0,03</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0,02</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0,23</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0,30</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0,41</w:t>
            </w:r>
          </w:p>
        </w:tc>
      </w:tr>
      <w:tr w:rsidR="00371177" w:rsidRPr="003153FC" w:rsidTr="00AB1698">
        <w:trPr>
          <w:cantSplit/>
          <w:trHeight w:val="397"/>
        </w:trPr>
        <w:tc>
          <w:tcPr>
            <w:tcW w:w="6356" w:type="dxa"/>
            <w:tcBorders>
              <w:right w:val="single" w:sz="18" w:space="0" w:color="auto"/>
            </w:tcBorders>
            <w:vAlign w:val="center"/>
          </w:tcPr>
          <w:p w:rsidR="00371177" w:rsidRPr="003153FC" w:rsidRDefault="00371177" w:rsidP="00371177">
            <w:r>
              <w:t>14</w:t>
            </w:r>
            <w:r w:rsidRPr="003153FC">
              <w:t xml:space="preserve">. </w:t>
            </w:r>
            <w:r>
              <w:t xml:space="preserve">Mesleki uygulamalarının çevresel etkileri (sağlık, hukuk, çevre, güvenlik, toplum vb.) hakkındaki farkındalık </w:t>
            </w:r>
          </w:p>
        </w:tc>
        <w:tc>
          <w:tcPr>
            <w:tcW w:w="753" w:type="dxa"/>
            <w:tcBorders>
              <w:top w:val="single" w:sz="6" w:space="0" w:color="auto"/>
              <w:left w:val="single" w:sz="18"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805"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0,02</w:t>
            </w:r>
          </w:p>
        </w:tc>
        <w:tc>
          <w:tcPr>
            <w:tcW w:w="711"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0,13</w:t>
            </w:r>
          </w:p>
        </w:tc>
        <w:tc>
          <w:tcPr>
            <w:tcW w:w="760" w:type="dxa"/>
            <w:tcBorders>
              <w:top w:val="single" w:sz="6" w:space="0" w:color="auto"/>
              <w:bottom w:val="single" w:sz="6"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0,45</w:t>
            </w:r>
          </w:p>
        </w:tc>
        <w:tc>
          <w:tcPr>
            <w:tcW w:w="711" w:type="dxa"/>
            <w:tcBorders>
              <w:top w:val="single" w:sz="6" w:space="0" w:color="auto"/>
              <w:bottom w:val="single" w:sz="6"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0,38</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0,04</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0,08</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0,18</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0,34</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0,36</w:t>
            </w:r>
          </w:p>
        </w:tc>
      </w:tr>
      <w:tr w:rsidR="00371177" w:rsidRPr="003153FC" w:rsidTr="00AB1698">
        <w:trPr>
          <w:cantSplit/>
          <w:trHeight w:val="397"/>
        </w:trPr>
        <w:tc>
          <w:tcPr>
            <w:tcW w:w="6356" w:type="dxa"/>
            <w:tcBorders>
              <w:right w:val="single" w:sz="18" w:space="0" w:color="auto"/>
            </w:tcBorders>
            <w:vAlign w:val="center"/>
          </w:tcPr>
          <w:p w:rsidR="00371177" w:rsidRDefault="00371177" w:rsidP="00371177">
            <w:r>
              <w:t>15. Deney tasarlama, yapma ve sonuçları yorumlama becerisi</w:t>
            </w:r>
          </w:p>
        </w:tc>
        <w:tc>
          <w:tcPr>
            <w:tcW w:w="753" w:type="dxa"/>
            <w:tcBorders>
              <w:top w:val="single" w:sz="6" w:space="0" w:color="auto"/>
              <w:left w:val="single" w:sz="18" w:space="0" w:color="auto"/>
              <w:bottom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805" w:type="dxa"/>
            <w:tcBorders>
              <w:top w:val="single" w:sz="6" w:space="0" w:color="auto"/>
              <w:bottom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0,00</w:t>
            </w:r>
          </w:p>
        </w:tc>
        <w:tc>
          <w:tcPr>
            <w:tcW w:w="711" w:type="dxa"/>
            <w:tcBorders>
              <w:top w:val="single" w:sz="6" w:space="0" w:color="auto"/>
              <w:bottom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11" w:type="dxa"/>
            <w:tcBorders>
              <w:top w:val="single" w:sz="6" w:space="0" w:color="auto"/>
              <w:bottom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0,12</w:t>
            </w:r>
          </w:p>
        </w:tc>
        <w:tc>
          <w:tcPr>
            <w:tcW w:w="760" w:type="dxa"/>
            <w:tcBorders>
              <w:top w:val="single" w:sz="6" w:space="0" w:color="auto"/>
              <w:bottom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0,37</w:t>
            </w:r>
          </w:p>
        </w:tc>
        <w:tc>
          <w:tcPr>
            <w:tcW w:w="711" w:type="dxa"/>
            <w:tcBorders>
              <w:top w:val="single" w:sz="6" w:space="0" w:color="auto"/>
              <w:bottom w:val="single" w:sz="18" w:space="0" w:color="auto"/>
              <w:righ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0,48</w:t>
            </w:r>
          </w:p>
        </w:tc>
        <w:tc>
          <w:tcPr>
            <w:tcW w:w="753" w:type="dxa"/>
            <w:tcBorders>
              <w:left w:val="single" w:sz="18" w:space="0" w:color="auto"/>
            </w:tcBorders>
            <w:vAlign w:val="center"/>
          </w:tcPr>
          <w:p w:rsidR="00371177" w:rsidRPr="00AB1698" w:rsidRDefault="00371177" w:rsidP="00371177">
            <w:pPr>
              <w:jc w:val="center"/>
              <w:rPr>
                <w:color w:val="000000"/>
                <w:sz w:val="22"/>
                <w:szCs w:val="22"/>
              </w:rPr>
            </w:pPr>
            <w:r w:rsidRPr="00AB1698">
              <w:rPr>
                <w:color w:val="000000"/>
                <w:sz w:val="22"/>
                <w:szCs w:val="22"/>
              </w:rPr>
              <w:t>0,04</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0,01</w:t>
            </w:r>
          </w:p>
        </w:tc>
        <w:tc>
          <w:tcPr>
            <w:tcW w:w="764" w:type="dxa"/>
            <w:vAlign w:val="center"/>
          </w:tcPr>
          <w:p w:rsidR="00371177" w:rsidRPr="00AB1698" w:rsidRDefault="00371177" w:rsidP="00371177">
            <w:pPr>
              <w:jc w:val="center"/>
              <w:rPr>
                <w:color w:val="000000"/>
                <w:sz w:val="22"/>
                <w:szCs w:val="22"/>
              </w:rPr>
            </w:pPr>
            <w:r w:rsidRPr="00AB1698">
              <w:rPr>
                <w:color w:val="000000"/>
                <w:sz w:val="22"/>
                <w:szCs w:val="22"/>
              </w:rPr>
              <w:t>0,04</w:t>
            </w:r>
          </w:p>
        </w:tc>
        <w:tc>
          <w:tcPr>
            <w:tcW w:w="799" w:type="dxa"/>
            <w:vAlign w:val="center"/>
          </w:tcPr>
          <w:p w:rsidR="00371177" w:rsidRPr="00AB1698" w:rsidRDefault="00371177" w:rsidP="00371177">
            <w:pPr>
              <w:jc w:val="center"/>
              <w:rPr>
                <w:color w:val="000000"/>
                <w:sz w:val="22"/>
                <w:szCs w:val="22"/>
              </w:rPr>
            </w:pPr>
            <w:r w:rsidRPr="00AB1698">
              <w:rPr>
                <w:color w:val="000000"/>
                <w:sz w:val="22"/>
                <w:szCs w:val="22"/>
              </w:rPr>
              <w:t>0,19</w:t>
            </w:r>
          </w:p>
        </w:tc>
        <w:tc>
          <w:tcPr>
            <w:tcW w:w="798" w:type="dxa"/>
            <w:vAlign w:val="center"/>
          </w:tcPr>
          <w:p w:rsidR="00371177" w:rsidRPr="00AB1698" w:rsidRDefault="00371177" w:rsidP="00371177">
            <w:pPr>
              <w:jc w:val="center"/>
              <w:rPr>
                <w:color w:val="000000"/>
                <w:sz w:val="22"/>
                <w:szCs w:val="22"/>
              </w:rPr>
            </w:pPr>
            <w:r w:rsidRPr="00AB1698">
              <w:rPr>
                <w:color w:val="000000"/>
                <w:sz w:val="22"/>
                <w:szCs w:val="22"/>
              </w:rPr>
              <w:t>0,37</w:t>
            </w:r>
          </w:p>
        </w:tc>
        <w:tc>
          <w:tcPr>
            <w:tcW w:w="711" w:type="dxa"/>
            <w:vAlign w:val="center"/>
          </w:tcPr>
          <w:p w:rsidR="00371177" w:rsidRPr="00AB1698" w:rsidRDefault="00371177" w:rsidP="00371177">
            <w:pPr>
              <w:jc w:val="center"/>
              <w:rPr>
                <w:color w:val="000000"/>
                <w:sz w:val="22"/>
                <w:szCs w:val="22"/>
              </w:rPr>
            </w:pPr>
            <w:r w:rsidRPr="00AB1698">
              <w:rPr>
                <w:color w:val="000000"/>
                <w:sz w:val="22"/>
                <w:szCs w:val="22"/>
              </w:rPr>
              <w:t>0,34</w:t>
            </w:r>
          </w:p>
        </w:tc>
      </w:tr>
    </w:tbl>
    <w:p w:rsidR="00074DE5" w:rsidRDefault="00074DE5" w:rsidP="00074DE5">
      <w:pPr>
        <w:rPr>
          <w:bCs/>
        </w:rPr>
      </w:pPr>
    </w:p>
    <w:p w:rsidR="00C67400" w:rsidRDefault="00C67400" w:rsidP="00243FA1">
      <w:pPr>
        <w:pStyle w:val="KonuBal"/>
        <w:tabs>
          <w:tab w:val="left" w:pos="1440"/>
          <w:tab w:val="left" w:pos="3420"/>
          <w:tab w:val="left" w:pos="4230"/>
        </w:tabs>
        <w:jc w:val="left"/>
        <w:rPr>
          <w:rFonts w:ascii="Times New Roman" w:hAnsi="Times New Roman" w:cs="Times New Roman"/>
          <w:b w:val="0"/>
          <w:sz w:val="24"/>
          <w:szCs w:val="24"/>
        </w:rPr>
      </w:pPr>
    </w:p>
    <w:p w:rsidR="00C67400" w:rsidRDefault="00C67400" w:rsidP="00243FA1">
      <w:pPr>
        <w:pStyle w:val="KonuBal"/>
        <w:tabs>
          <w:tab w:val="left" w:pos="1440"/>
          <w:tab w:val="left" w:pos="3420"/>
          <w:tab w:val="left" w:pos="4230"/>
        </w:tabs>
        <w:jc w:val="left"/>
        <w:rPr>
          <w:rFonts w:ascii="Times New Roman" w:hAnsi="Times New Roman" w:cs="Times New Roman"/>
          <w:b w:val="0"/>
          <w:sz w:val="24"/>
          <w:szCs w:val="24"/>
        </w:rPr>
        <w:sectPr w:rsidR="00C67400" w:rsidSect="00444785">
          <w:pgSz w:w="16838" w:h="11906" w:orient="landscape"/>
          <w:pgMar w:top="284" w:right="1245" w:bottom="284" w:left="993" w:header="708" w:footer="708" w:gutter="0"/>
          <w:cols w:space="708"/>
          <w:docGrid w:linePitch="360"/>
        </w:sectPr>
      </w:pPr>
      <w:bookmarkStart w:id="0" w:name="_GoBack"/>
      <w:bookmarkEnd w:id="0"/>
    </w:p>
    <w:p w:rsidR="0027015D" w:rsidRDefault="00C67400" w:rsidP="00243FA1">
      <w:pPr>
        <w:pStyle w:val="KonuBal"/>
        <w:tabs>
          <w:tab w:val="left" w:pos="1440"/>
          <w:tab w:val="left" w:pos="3420"/>
          <w:tab w:val="left" w:pos="4230"/>
        </w:tabs>
        <w:jc w:val="left"/>
        <w:rPr>
          <w:rFonts w:ascii="Times New Roman" w:hAnsi="Times New Roman" w:cs="Times New Roman"/>
          <w:b w:val="0"/>
          <w:sz w:val="24"/>
          <w:szCs w:val="24"/>
        </w:rPr>
      </w:pPr>
      <w:r>
        <w:rPr>
          <w:rFonts w:ascii="Times New Roman" w:hAnsi="Times New Roman" w:cs="Times New Roman"/>
          <w:b w:val="0"/>
          <w:sz w:val="24"/>
          <w:szCs w:val="24"/>
        </w:rPr>
        <w:lastRenderedPageBreak/>
        <w:t xml:space="preserve">Değerlendiricilerin bir Endüstri </w:t>
      </w:r>
      <w:proofErr w:type="spellStart"/>
      <w:r>
        <w:rPr>
          <w:rFonts w:ascii="Times New Roman" w:hAnsi="Times New Roman" w:cs="Times New Roman"/>
          <w:b w:val="0"/>
          <w:sz w:val="24"/>
          <w:szCs w:val="24"/>
        </w:rPr>
        <w:t>Mühendisi’nden</w:t>
      </w:r>
      <w:proofErr w:type="spellEnd"/>
      <w:r>
        <w:rPr>
          <w:rFonts w:ascii="Times New Roman" w:hAnsi="Times New Roman" w:cs="Times New Roman"/>
          <w:b w:val="0"/>
          <w:sz w:val="24"/>
          <w:szCs w:val="24"/>
        </w:rPr>
        <w:t xml:space="preserve"> öze</w:t>
      </w:r>
      <w:r w:rsidR="0027015D">
        <w:rPr>
          <w:rFonts w:ascii="Times New Roman" w:hAnsi="Times New Roman" w:cs="Times New Roman"/>
          <w:b w:val="0"/>
          <w:sz w:val="24"/>
          <w:szCs w:val="24"/>
        </w:rPr>
        <w:t>l olarak beklentileri şunlardır:</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 xml:space="preserve">Endüstri mühendisliğinin işi verimlilik olduğundan, belli bir girdi ile maksimum çıktıyı sağlayabilmek için, bir endüstri mühendisinin öncelikle organizasyon yeteneğinin üst </w:t>
      </w:r>
      <w:proofErr w:type="spellStart"/>
      <w:r w:rsidRPr="00D45B67">
        <w:rPr>
          <w:rFonts w:ascii="Times New Roman" w:hAnsi="Times New Roman" w:cs="Times New Roman"/>
          <w:b w:val="0"/>
          <w:sz w:val="24"/>
          <w:szCs w:val="24"/>
        </w:rPr>
        <w:t>duzey</w:t>
      </w:r>
      <w:proofErr w:type="spellEnd"/>
      <w:r w:rsidRPr="00D45B67">
        <w:rPr>
          <w:rFonts w:ascii="Times New Roman" w:hAnsi="Times New Roman" w:cs="Times New Roman"/>
          <w:b w:val="0"/>
          <w:sz w:val="24"/>
          <w:szCs w:val="24"/>
        </w:rPr>
        <w:t xml:space="preserve"> olması gerekir. Öğrenmeye devamlı aç, yenilikleri takip eden, daha az maliyetle işi nasıl kolaylaştırırım ve daha çok çıktıya sahip olabilirim demeli. Bu da, bilgiyi etkin kullanmaktan geçer. Araştırmayı ve süreci iyileştirmeyi hayat felsefesi yapmalıdır. </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Düzenli ve disiplinli çalışması, teknik donanıma sahip olması</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 xml:space="preserve">Staj olarak farklı endüstri dalları seçilerek çalışma hayatına daha iyi hazırlanabilir. Aynı sektörde sürekli staj yapmak köreltebilir. Daha fazla uygulamaya yönelik projeler verilmelidir. </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İlerleyen ve gelişen sanayileşme sürecinde sürekli iyileştirme yapılabilmesi.</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İletişim becerisi oldukça yüksek sorumluluk alan, işini iyi takip eden bir yapıda olmalıdır.</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Fabrika ortamında elde ettiği verileri hızlı bir şekilde bilgiye çevirip gerekli aksiyomları almalı.</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Planlama kabiliyeti ölçme ve değerlendirme bilgisi, yaratıcılık, astlarla iletişim ve birazda eğitim bilgi becerisi olması.</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Hiçbir şey yeteri kadar iyi değil deyip hep daha iyisini araması.</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İletişim becerisi oldukça yüksek sorumluluk alan işini iyi takip eden bir yapıda olmalıdır.</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Verimli sistemler tasarlama, kurma ve uygulama, yönetme alanlarında çalışma hayatına katkı sağlama</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İş güvenliği</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Fotoğrafa tek bir taraftan değil bir bütün olarak bakıp sorunları bütün halinde görüp değerlendirmeli</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Endüstri mühendisi olağanüstü bir alana sahip bir bölüm bence, en az sermaye, en az insan kaynağı ile harikalar yaratılmasını isterdim.</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 xml:space="preserve">İletişim becerisi oldukça yüksek sorumluluk alan işini iyi takip eden bir yapıda olmalıdır. </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Organizasyon yeteneğinin olması disiplinli olması</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 xml:space="preserve">Microsoft Excel'e </w:t>
      </w:r>
      <w:proofErr w:type="gramStart"/>
      <w:r w:rsidRPr="00D45B67">
        <w:rPr>
          <w:rFonts w:ascii="Times New Roman" w:hAnsi="Times New Roman" w:cs="Times New Roman"/>
          <w:b w:val="0"/>
          <w:sz w:val="24"/>
          <w:szCs w:val="24"/>
        </w:rPr>
        <w:t>hakim</w:t>
      </w:r>
      <w:proofErr w:type="gramEnd"/>
      <w:r w:rsidRPr="00D45B67">
        <w:rPr>
          <w:rFonts w:ascii="Times New Roman" w:hAnsi="Times New Roman" w:cs="Times New Roman"/>
          <w:b w:val="0"/>
          <w:sz w:val="24"/>
          <w:szCs w:val="24"/>
        </w:rPr>
        <w:t xml:space="preserve"> olması.</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 xml:space="preserve">Farklı açılardan düşünüp tasarıma başka/yeni/farklı bakış açısı sağlaması. Takım çalışmasına ve </w:t>
      </w:r>
      <w:proofErr w:type="spellStart"/>
      <w:r w:rsidRPr="00D45B67">
        <w:rPr>
          <w:rFonts w:ascii="Times New Roman" w:hAnsi="Times New Roman" w:cs="Times New Roman"/>
          <w:b w:val="0"/>
          <w:sz w:val="24"/>
          <w:szCs w:val="24"/>
        </w:rPr>
        <w:t>multidisipliner</w:t>
      </w:r>
      <w:proofErr w:type="spellEnd"/>
      <w:r w:rsidRPr="00D45B67">
        <w:rPr>
          <w:rFonts w:ascii="Times New Roman" w:hAnsi="Times New Roman" w:cs="Times New Roman"/>
          <w:b w:val="0"/>
          <w:sz w:val="24"/>
          <w:szCs w:val="24"/>
        </w:rPr>
        <w:t xml:space="preserve"> çalışmaya yatkınlık.</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 xml:space="preserve">Gözlemleme, sorun çözme ve hızlı kararlar alarak </w:t>
      </w:r>
      <w:proofErr w:type="spellStart"/>
      <w:r w:rsidRPr="00D45B67">
        <w:rPr>
          <w:rFonts w:ascii="Times New Roman" w:hAnsi="Times New Roman" w:cs="Times New Roman"/>
          <w:b w:val="0"/>
          <w:sz w:val="24"/>
          <w:szCs w:val="24"/>
        </w:rPr>
        <w:t>iyileştimeler</w:t>
      </w:r>
      <w:proofErr w:type="spellEnd"/>
      <w:r w:rsidRPr="00D45B67">
        <w:rPr>
          <w:rFonts w:ascii="Times New Roman" w:hAnsi="Times New Roman" w:cs="Times New Roman"/>
          <w:b w:val="0"/>
          <w:sz w:val="24"/>
          <w:szCs w:val="24"/>
        </w:rPr>
        <w:t xml:space="preserve"> yapmalı. Araştırma ve sorgulama gücünü yüksek tutmalı.</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proofErr w:type="spellStart"/>
      <w:r w:rsidRPr="00D45B67">
        <w:rPr>
          <w:rFonts w:ascii="Times New Roman" w:hAnsi="Times New Roman" w:cs="Times New Roman"/>
          <w:b w:val="0"/>
          <w:sz w:val="24"/>
          <w:szCs w:val="24"/>
        </w:rPr>
        <w:t>Organizasyonel</w:t>
      </w:r>
      <w:proofErr w:type="spellEnd"/>
      <w:r w:rsidRPr="00D45B67">
        <w:rPr>
          <w:rFonts w:ascii="Times New Roman" w:hAnsi="Times New Roman" w:cs="Times New Roman"/>
          <w:b w:val="0"/>
          <w:sz w:val="24"/>
          <w:szCs w:val="24"/>
        </w:rPr>
        <w:t xml:space="preserve"> yeteneğin sanayi ile beraber geliştirilmesinde fayda var.</w:t>
      </w:r>
    </w:p>
    <w:p w:rsidR="00D45B67" w:rsidRPr="00D45B67" w:rsidRDefault="00D45B67" w:rsidP="00D45B67">
      <w:pPr>
        <w:pStyle w:val="KonuBal"/>
        <w:numPr>
          <w:ilvl w:val="0"/>
          <w:numId w:val="7"/>
        </w:numPr>
        <w:tabs>
          <w:tab w:val="left" w:pos="1440"/>
          <w:tab w:val="left" w:pos="3420"/>
          <w:tab w:val="left" w:pos="4230"/>
        </w:tabs>
        <w:jc w:val="both"/>
        <w:rPr>
          <w:rFonts w:ascii="Times New Roman" w:hAnsi="Times New Roman" w:cs="Times New Roman"/>
          <w:b w:val="0"/>
          <w:sz w:val="24"/>
          <w:szCs w:val="24"/>
        </w:rPr>
      </w:pPr>
      <w:r w:rsidRPr="00D45B67">
        <w:rPr>
          <w:rFonts w:ascii="Times New Roman" w:hAnsi="Times New Roman" w:cs="Times New Roman"/>
          <w:b w:val="0"/>
          <w:sz w:val="24"/>
          <w:szCs w:val="24"/>
        </w:rPr>
        <w:t>İletişim yönünün kuvvetli olması, sorgulayıcı olması, mücadeleci olması, sistemi iyi analiz edebilmeli, kalıcı çözümler getirebilmesi.</w:t>
      </w:r>
    </w:p>
    <w:p w:rsidR="00EE639B" w:rsidRDefault="00EE639B" w:rsidP="002B6438">
      <w:pPr>
        <w:pStyle w:val="KonuBal"/>
        <w:tabs>
          <w:tab w:val="left" w:pos="1440"/>
          <w:tab w:val="left" w:pos="3420"/>
          <w:tab w:val="left" w:pos="4230"/>
        </w:tabs>
        <w:jc w:val="both"/>
        <w:rPr>
          <w:rFonts w:ascii="Times New Roman" w:hAnsi="Times New Roman" w:cs="Times New Roman"/>
          <w:b w:val="0"/>
          <w:sz w:val="24"/>
          <w:szCs w:val="24"/>
        </w:rPr>
      </w:pPr>
    </w:p>
    <w:p w:rsidR="00EE639B" w:rsidRDefault="00EE639B" w:rsidP="002B6438">
      <w:pPr>
        <w:pStyle w:val="KonuBal"/>
        <w:tabs>
          <w:tab w:val="left" w:pos="1440"/>
          <w:tab w:val="left" w:pos="3420"/>
          <w:tab w:val="left" w:pos="4230"/>
        </w:tabs>
        <w:jc w:val="both"/>
        <w:rPr>
          <w:rFonts w:ascii="Times New Roman" w:hAnsi="Times New Roman" w:cs="Times New Roman"/>
          <w:b w:val="0"/>
          <w:sz w:val="24"/>
          <w:szCs w:val="24"/>
        </w:rPr>
      </w:pPr>
    </w:p>
    <w:p w:rsidR="00157382" w:rsidRDefault="001727CB" w:rsidP="00157382">
      <w:pPr>
        <w:pStyle w:val="KonuBal"/>
        <w:tabs>
          <w:tab w:val="left" w:pos="1440"/>
          <w:tab w:val="left" w:pos="3420"/>
          <w:tab w:val="left" w:pos="4230"/>
        </w:tabs>
      </w:pPr>
      <w:r>
        <w:lastRenderedPageBreak/>
        <w:t>M</w:t>
      </w:r>
      <w:r w:rsidR="00157382" w:rsidRPr="00677273">
        <w:t>ezunumuzun</w:t>
      </w:r>
      <w:r w:rsidR="00157382">
        <w:t>/S</w:t>
      </w:r>
      <w:r w:rsidR="00157382" w:rsidRPr="00677273">
        <w:t xml:space="preserve">tajyerimizin </w:t>
      </w:r>
      <w:r w:rsidR="00157382">
        <w:t>Özellik ve Beceriler Y</w:t>
      </w:r>
      <w:r w:rsidR="00157382" w:rsidRPr="00677273">
        <w:t xml:space="preserve">önünden </w:t>
      </w:r>
    </w:p>
    <w:p w:rsidR="00157382" w:rsidRDefault="00157382" w:rsidP="00157382">
      <w:pPr>
        <w:pStyle w:val="KonuBal"/>
        <w:tabs>
          <w:tab w:val="left" w:pos="1440"/>
          <w:tab w:val="left" w:pos="3420"/>
          <w:tab w:val="left" w:pos="4230"/>
        </w:tabs>
      </w:pPr>
      <w:r>
        <w:t>Yıllara Göre D</w:t>
      </w:r>
      <w:r w:rsidRPr="00677273">
        <w:t>eğerlendirilmesi</w:t>
      </w:r>
    </w:p>
    <w:p w:rsidR="001727CB" w:rsidRDefault="001727CB" w:rsidP="00157382">
      <w:pPr>
        <w:pStyle w:val="KonuBal"/>
        <w:tabs>
          <w:tab w:val="left" w:pos="1440"/>
          <w:tab w:val="left" w:pos="3420"/>
          <w:tab w:val="left" w:pos="4230"/>
        </w:tabs>
      </w:pPr>
      <w:r>
        <w:rPr>
          <w:noProof/>
        </w:rPr>
        <w:drawing>
          <wp:inline distT="0" distB="0" distL="0" distR="0" wp14:anchorId="0F9D5095" wp14:editId="40B4E465">
            <wp:extent cx="4572000" cy="2743200"/>
            <wp:effectExtent l="0" t="0" r="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D1AEE" w:rsidRDefault="001727CB" w:rsidP="00157382">
      <w:pPr>
        <w:pStyle w:val="KonuBal"/>
        <w:tabs>
          <w:tab w:val="left" w:pos="1440"/>
          <w:tab w:val="left" w:pos="3420"/>
          <w:tab w:val="left" w:pos="4230"/>
        </w:tabs>
      </w:pPr>
      <w:r>
        <w:rPr>
          <w:noProof/>
        </w:rPr>
        <w:drawing>
          <wp:inline distT="0" distB="0" distL="0" distR="0" wp14:anchorId="3E517495" wp14:editId="4D47DCDE">
            <wp:extent cx="4572000" cy="2743200"/>
            <wp:effectExtent l="0" t="0" r="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D1AEE" w:rsidRDefault="001727CB" w:rsidP="00157382">
      <w:pPr>
        <w:pStyle w:val="KonuBal"/>
        <w:tabs>
          <w:tab w:val="left" w:pos="1440"/>
          <w:tab w:val="left" w:pos="3420"/>
          <w:tab w:val="left" w:pos="4230"/>
        </w:tabs>
        <w:rPr>
          <w:noProof/>
        </w:rPr>
      </w:pPr>
      <w:r>
        <w:rPr>
          <w:noProof/>
        </w:rPr>
        <w:drawing>
          <wp:inline distT="0" distB="0" distL="0" distR="0" wp14:anchorId="5BBE93AC" wp14:editId="20C11682">
            <wp:extent cx="4572000" cy="2743200"/>
            <wp:effectExtent l="0" t="0" r="0"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7382" w:rsidRDefault="001727CB" w:rsidP="00157382">
      <w:pPr>
        <w:pStyle w:val="KonuBal"/>
        <w:tabs>
          <w:tab w:val="left" w:pos="1440"/>
          <w:tab w:val="left" w:pos="3420"/>
          <w:tab w:val="left" w:pos="4230"/>
        </w:tabs>
        <w:rPr>
          <w:rFonts w:ascii="Times New Roman" w:hAnsi="Times New Roman" w:cs="Times New Roman"/>
          <w:b w:val="0"/>
          <w:sz w:val="24"/>
          <w:szCs w:val="24"/>
        </w:rPr>
      </w:pPr>
      <w:r>
        <w:rPr>
          <w:noProof/>
        </w:rPr>
        <w:lastRenderedPageBreak/>
        <w:drawing>
          <wp:inline distT="0" distB="0" distL="0" distR="0" wp14:anchorId="28C947AA" wp14:editId="3B6C2397">
            <wp:extent cx="4572000" cy="2743200"/>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00C7E" w:rsidRDefault="00600C7E" w:rsidP="00157382">
      <w:pPr>
        <w:pStyle w:val="KonuBal"/>
        <w:tabs>
          <w:tab w:val="left" w:pos="1440"/>
          <w:tab w:val="left" w:pos="3420"/>
          <w:tab w:val="left" w:pos="4230"/>
        </w:tabs>
        <w:rPr>
          <w:rFonts w:ascii="Times New Roman" w:hAnsi="Times New Roman" w:cs="Times New Roman"/>
          <w:b w:val="0"/>
          <w:sz w:val="24"/>
          <w:szCs w:val="24"/>
        </w:rPr>
      </w:pPr>
    </w:p>
    <w:p w:rsidR="001727CB" w:rsidRDefault="001727CB" w:rsidP="00157382">
      <w:pPr>
        <w:pStyle w:val="KonuBal"/>
        <w:tabs>
          <w:tab w:val="left" w:pos="1440"/>
          <w:tab w:val="left" w:pos="3420"/>
          <w:tab w:val="left" w:pos="4230"/>
        </w:tabs>
        <w:rPr>
          <w:rFonts w:ascii="Times New Roman" w:hAnsi="Times New Roman" w:cs="Times New Roman"/>
          <w:b w:val="0"/>
          <w:sz w:val="24"/>
          <w:szCs w:val="24"/>
        </w:rPr>
      </w:pPr>
      <w:r>
        <w:rPr>
          <w:noProof/>
        </w:rPr>
        <w:drawing>
          <wp:inline distT="0" distB="0" distL="0" distR="0" wp14:anchorId="0B5B5206" wp14:editId="79E7203B">
            <wp:extent cx="4572000" cy="2743200"/>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0C7E" w:rsidRDefault="00600C7E" w:rsidP="00157382">
      <w:pPr>
        <w:pStyle w:val="KonuBal"/>
        <w:tabs>
          <w:tab w:val="left" w:pos="1440"/>
          <w:tab w:val="left" w:pos="3420"/>
          <w:tab w:val="left" w:pos="4230"/>
        </w:tabs>
        <w:rPr>
          <w:rFonts w:ascii="Times New Roman" w:hAnsi="Times New Roman" w:cs="Times New Roman"/>
          <w:b w:val="0"/>
          <w:sz w:val="24"/>
          <w:szCs w:val="24"/>
        </w:rPr>
      </w:pPr>
    </w:p>
    <w:p w:rsidR="002B6438" w:rsidRDefault="001727CB" w:rsidP="002B6438">
      <w:pPr>
        <w:pStyle w:val="KonuBal"/>
        <w:tabs>
          <w:tab w:val="left" w:pos="1440"/>
          <w:tab w:val="left" w:pos="3420"/>
          <w:tab w:val="left" w:pos="4230"/>
        </w:tabs>
        <w:rPr>
          <w:rFonts w:ascii="Times New Roman" w:hAnsi="Times New Roman" w:cs="Times New Roman"/>
          <w:b w:val="0"/>
          <w:sz w:val="24"/>
          <w:szCs w:val="24"/>
        </w:rPr>
      </w:pPr>
      <w:r>
        <w:rPr>
          <w:noProof/>
        </w:rPr>
        <w:drawing>
          <wp:inline distT="0" distB="0" distL="0" distR="0" wp14:anchorId="66E22ACA" wp14:editId="7A1C203E">
            <wp:extent cx="4572000" cy="2743200"/>
            <wp:effectExtent l="0" t="0" r="0" b="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3826" w:rsidRDefault="00873826" w:rsidP="002B6438">
      <w:pPr>
        <w:pStyle w:val="KonuBal"/>
        <w:tabs>
          <w:tab w:val="left" w:pos="1440"/>
          <w:tab w:val="left" w:pos="3420"/>
          <w:tab w:val="left" w:pos="4230"/>
        </w:tabs>
        <w:rPr>
          <w:noProof/>
        </w:rPr>
      </w:pPr>
    </w:p>
    <w:p w:rsidR="003D1AEE" w:rsidRDefault="001727CB" w:rsidP="002B6438">
      <w:pPr>
        <w:pStyle w:val="KonuBal"/>
        <w:tabs>
          <w:tab w:val="left" w:pos="1440"/>
          <w:tab w:val="left" w:pos="3420"/>
          <w:tab w:val="left" w:pos="4230"/>
        </w:tabs>
        <w:rPr>
          <w:rFonts w:ascii="Times New Roman" w:hAnsi="Times New Roman" w:cs="Times New Roman"/>
          <w:b w:val="0"/>
          <w:sz w:val="24"/>
          <w:szCs w:val="24"/>
        </w:rPr>
      </w:pPr>
      <w:r>
        <w:rPr>
          <w:noProof/>
        </w:rPr>
        <w:lastRenderedPageBreak/>
        <w:drawing>
          <wp:inline distT="0" distB="0" distL="0" distR="0" wp14:anchorId="52A49678" wp14:editId="5BAC9B0D">
            <wp:extent cx="4572000" cy="2743200"/>
            <wp:effectExtent l="0" t="0" r="0" b="0"/>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00C7E" w:rsidRDefault="00600C7E" w:rsidP="002B6438">
      <w:pPr>
        <w:pStyle w:val="KonuBal"/>
        <w:tabs>
          <w:tab w:val="left" w:pos="1440"/>
          <w:tab w:val="left" w:pos="3420"/>
          <w:tab w:val="left" w:pos="4230"/>
        </w:tabs>
        <w:rPr>
          <w:rFonts w:ascii="Times New Roman" w:hAnsi="Times New Roman" w:cs="Times New Roman"/>
          <w:b w:val="0"/>
          <w:sz w:val="24"/>
          <w:szCs w:val="24"/>
        </w:rPr>
      </w:pPr>
    </w:p>
    <w:p w:rsidR="001727CB" w:rsidRDefault="001727CB" w:rsidP="002B6438">
      <w:pPr>
        <w:pStyle w:val="KonuBal"/>
        <w:tabs>
          <w:tab w:val="left" w:pos="1440"/>
          <w:tab w:val="left" w:pos="3420"/>
          <w:tab w:val="left" w:pos="4230"/>
        </w:tabs>
        <w:rPr>
          <w:rFonts w:ascii="Times New Roman" w:hAnsi="Times New Roman" w:cs="Times New Roman"/>
          <w:b w:val="0"/>
          <w:sz w:val="24"/>
          <w:szCs w:val="24"/>
        </w:rPr>
      </w:pPr>
      <w:r>
        <w:rPr>
          <w:noProof/>
        </w:rPr>
        <w:drawing>
          <wp:inline distT="0" distB="0" distL="0" distR="0" wp14:anchorId="00071E86" wp14:editId="79E1434D">
            <wp:extent cx="4572000" cy="2743200"/>
            <wp:effectExtent l="0" t="0" r="0" b="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00C7E" w:rsidRDefault="00600C7E" w:rsidP="002B6438">
      <w:pPr>
        <w:pStyle w:val="KonuBal"/>
        <w:tabs>
          <w:tab w:val="left" w:pos="1440"/>
          <w:tab w:val="left" w:pos="3420"/>
          <w:tab w:val="left" w:pos="4230"/>
        </w:tabs>
        <w:rPr>
          <w:rFonts w:ascii="Times New Roman" w:hAnsi="Times New Roman" w:cs="Times New Roman"/>
          <w:b w:val="0"/>
          <w:sz w:val="24"/>
          <w:szCs w:val="24"/>
        </w:rPr>
      </w:pPr>
    </w:p>
    <w:p w:rsidR="001727CB" w:rsidRDefault="001727CB" w:rsidP="002B6438">
      <w:pPr>
        <w:pStyle w:val="KonuBal"/>
        <w:tabs>
          <w:tab w:val="left" w:pos="1440"/>
          <w:tab w:val="left" w:pos="3420"/>
          <w:tab w:val="left" w:pos="4230"/>
        </w:tabs>
        <w:rPr>
          <w:rFonts w:ascii="Times New Roman" w:hAnsi="Times New Roman" w:cs="Times New Roman"/>
          <w:b w:val="0"/>
          <w:sz w:val="24"/>
          <w:szCs w:val="24"/>
        </w:rPr>
      </w:pPr>
      <w:r>
        <w:rPr>
          <w:noProof/>
        </w:rPr>
        <w:drawing>
          <wp:inline distT="0" distB="0" distL="0" distR="0" wp14:anchorId="2E5D12B3" wp14:editId="6734D78D">
            <wp:extent cx="4572000" cy="2743200"/>
            <wp:effectExtent l="0" t="0" r="0" b="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727CB" w:rsidRDefault="001727CB" w:rsidP="002B6438">
      <w:pPr>
        <w:pStyle w:val="KonuBal"/>
        <w:tabs>
          <w:tab w:val="left" w:pos="1440"/>
          <w:tab w:val="left" w:pos="3420"/>
          <w:tab w:val="left" w:pos="4230"/>
        </w:tabs>
        <w:rPr>
          <w:rFonts w:ascii="Times New Roman" w:hAnsi="Times New Roman" w:cs="Times New Roman"/>
          <w:b w:val="0"/>
          <w:sz w:val="24"/>
          <w:szCs w:val="24"/>
        </w:rPr>
      </w:pPr>
    </w:p>
    <w:p w:rsidR="001727CB" w:rsidRDefault="001727CB" w:rsidP="002B6438">
      <w:pPr>
        <w:pStyle w:val="KonuBal"/>
        <w:tabs>
          <w:tab w:val="left" w:pos="1440"/>
          <w:tab w:val="left" w:pos="3420"/>
          <w:tab w:val="left" w:pos="4230"/>
        </w:tabs>
        <w:rPr>
          <w:rFonts w:ascii="Times New Roman" w:hAnsi="Times New Roman" w:cs="Times New Roman"/>
          <w:b w:val="0"/>
          <w:sz w:val="24"/>
          <w:szCs w:val="24"/>
        </w:rPr>
      </w:pPr>
    </w:p>
    <w:p w:rsidR="00873826" w:rsidRDefault="001727CB" w:rsidP="002B6438">
      <w:pPr>
        <w:pStyle w:val="KonuBal"/>
        <w:tabs>
          <w:tab w:val="left" w:pos="1440"/>
          <w:tab w:val="left" w:pos="3420"/>
          <w:tab w:val="left" w:pos="4230"/>
        </w:tabs>
        <w:rPr>
          <w:rFonts w:ascii="Times New Roman" w:hAnsi="Times New Roman" w:cs="Times New Roman"/>
          <w:b w:val="0"/>
          <w:sz w:val="24"/>
          <w:szCs w:val="24"/>
        </w:rPr>
      </w:pPr>
      <w:r>
        <w:rPr>
          <w:noProof/>
        </w:rPr>
        <w:drawing>
          <wp:inline distT="0" distB="0" distL="0" distR="0" wp14:anchorId="5E4FE694" wp14:editId="4D90CB8F">
            <wp:extent cx="4572000" cy="2743200"/>
            <wp:effectExtent l="0" t="0" r="0" b="0"/>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727CB" w:rsidRDefault="001727CB" w:rsidP="002B6438">
      <w:pPr>
        <w:pStyle w:val="KonuBal"/>
        <w:tabs>
          <w:tab w:val="left" w:pos="1440"/>
          <w:tab w:val="left" w:pos="3420"/>
          <w:tab w:val="left" w:pos="4230"/>
        </w:tabs>
        <w:rPr>
          <w:rFonts w:ascii="Times New Roman" w:hAnsi="Times New Roman" w:cs="Times New Roman"/>
          <w:b w:val="0"/>
          <w:sz w:val="24"/>
          <w:szCs w:val="24"/>
        </w:rPr>
      </w:pPr>
    </w:p>
    <w:p w:rsidR="001727CB" w:rsidRDefault="001727CB" w:rsidP="002B6438">
      <w:pPr>
        <w:pStyle w:val="KonuBal"/>
        <w:tabs>
          <w:tab w:val="left" w:pos="1440"/>
          <w:tab w:val="left" w:pos="3420"/>
          <w:tab w:val="left" w:pos="4230"/>
        </w:tabs>
        <w:rPr>
          <w:rFonts w:ascii="Times New Roman" w:hAnsi="Times New Roman" w:cs="Times New Roman"/>
          <w:b w:val="0"/>
          <w:sz w:val="24"/>
          <w:szCs w:val="24"/>
        </w:rPr>
      </w:pPr>
      <w:r>
        <w:rPr>
          <w:noProof/>
        </w:rPr>
        <w:drawing>
          <wp:inline distT="0" distB="0" distL="0" distR="0" wp14:anchorId="6DA4B646" wp14:editId="66321288">
            <wp:extent cx="4572000" cy="2743200"/>
            <wp:effectExtent l="0" t="0" r="0" b="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32057" w:rsidRDefault="00F32057" w:rsidP="002B6438">
      <w:pPr>
        <w:pStyle w:val="KonuBal"/>
        <w:tabs>
          <w:tab w:val="left" w:pos="1440"/>
          <w:tab w:val="left" w:pos="3420"/>
          <w:tab w:val="left" w:pos="4230"/>
        </w:tabs>
        <w:rPr>
          <w:rFonts w:ascii="Times New Roman" w:hAnsi="Times New Roman" w:cs="Times New Roman"/>
          <w:b w:val="0"/>
          <w:sz w:val="24"/>
          <w:szCs w:val="24"/>
        </w:rPr>
      </w:pPr>
    </w:p>
    <w:p w:rsidR="004601BF" w:rsidRDefault="001727CB" w:rsidP="002B6438">
      <w:pPr>
        <w:pStyle w:val="KonuBal"/>
        <w:tabs>
          <w:tab w:val="left" w:pos="1440"/>
          <w:tab w:val="left" w:pos="3420"/>
          <w:tab w:val="left" w:pos="4230"/>
        </w:tabs>
        <w:rPr>
          <w:rFonts w:ascii="Times New Roman" w:hAnsi="Times New Roman" w:cs="Times New Roman"/>
          <w:b w:val="0"/>
          <w:sz w:val="24"/>
          <w:szCs w:val="24"/>
        </w:rPr>
      </w:pPr>
      <w:r>
        <w:rPr>
          <w:noProof/>
        </w:rPr>
        <w:drawing>
          <wp:inline distT="0" distB="0" distL="0" distR="0" wp14:anchorId="6C8C4D52" wp14:editId="76D7F4FB">
            <wp:extent cx="4572000" cy="2743200"/>
            <wp:effectExtent l="0" t="0" r="0" b="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601BF" w:rsidRDefault="004601BF" w:rsidP="002B6438">
      <w:pPr>
        <w:pStyle w:val="KonuBal"/>
        <w:tabs>
          <w:tab w:val="left" w:pos="1440"/>
          <w:tab w:val="left" w:pos="3420"/>
          <w:tab w:val="left" w:pos="4230"/>
        </w:tabs>
        <w:rPr>
          <w:rFonts w:ascii="Times New Roman" w:hAnsi="Times New Roman" w:cs="Times New Roman"/>
          <w:b w:val="0"/>
          <w:sz w:val="24"/>
          <w:szCs w:val="24"/>
        </w:rPr>
      </w:pPr>
    </w:p>
    <w:p w:rsidR="008211F4" w:rsidRDefault="001727CB" w:rsidP="002B6438">
      <w:pPr>
        <w:pStyle w:val="KonuBal"/>
        <w:tabs>
          <w:tab w:val="left" w:pos="1440"/>
          <w:tab w:val="left" w:pos="3420"/>
          <w:tab w:val="left" w:pos="4230"/>
        </w:tabs>
        <w:rPr>
          <w:rFonts w:ascii="Times New Roman" w:hAnsi="Times New Roman" w:cs="Times New Roman"/>
          <w:b w:val="0"/>
          <w:sz w:val="24"/>
          <w:szCs w:val="24"/>
        </w:rPr>
      </w:pPr>
      <w:r>
        <w:rPr>
          <w:noProof/>
        </w:rPr>
        <w:drawing>
          <wp:inline distT="0" distB="0" distL="0" distR="0" wp14:anchorId="1BD66410" wp14:editId="6D91F49F">
            <wp:extent cx="4572000" cy="2743200"/>
            <wp:effectExtent l="0" t="0" r="0" b="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601BF" w:rsidRDefault="004601BF" w:rsidP="002B6438">
      <w:pPr>
        <w:pStyle w:val="KonuBal"/>
        <w:tabs>
          <w:tab w:val="left" w:pos="1440"/>
          <w:tab w:val="left" w:pos="3420"/>
          <w:tab w:val="left" w:pos="4230"/>
        </w:tabs>
        <w:rPr>
          <w:rFonts w:ascii="Times New Roman" w:hAnsi="Times New Roman" w:cs="Times New Roman"/>
          <w:b w:val="0"/>
          <w:sz w:val="24"/>
          <w:szCs w:val="24"/>
        </w:rPr>
      </w:pPr>
    </w:p>
    <w:p w:rsidR="001727CB" w:rsidRDefault="001727CB" w:rsidP="002B6438">
      <w:pPr>
        <w:pStyle w:val="KonuBal"/>
        <w:tabs>
          <w:tab w:val="left" w:pos="1440"/>
          <w:tab w:val="left" w:pos="3420"/>
          <w:tab w:val="left" w:pos="4230"/>
        </w:tabs>
        <w:rPr>
          <w:rFonts w:ascii="Times New Roman" w:hAnsi="Times New Roman" w:cs="Times New Roman"/>
          <w:b w:val="0"/>
          <w:sz w:val="24"/>
          <w:szCs w:val="24"/>
        </w:rPr>
      </w:pPr>
      <w:r>
        <w:rPr>
          <w:noProof/>
        </w:rPr>
        <w:drawing>
          <wp:inline distT="0" distB="0" distL="0" distR="0" wp14:anchorId="3CF05E28" wp14:editId="2BFB4181">
            <wp:extent cx="4572000" cy="2743200"/>
            <wp:effectExtent l="0" t="0" r="0" b="0"/>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F1E3A" w:rsidRDefault="005F1E3A" w:rsidP="002B6438">
      <w:pPr>
        <w:pStyle w:val="KonuBal"/>
        <w:tabs>
          <w:tab w:val="left" w:pos="1440"/>
          <w:tab w:val="left" w:pos="3420"/>
          <w:tab w:val="left" w:pos="4230"/>
        </w:tabs>
        <w:rPr>
          <w:rFonts w:ascii="Times New Roman" w:hAnsi="Times New Roman" w:cs="Times New Roman"/>
          <w:b w:val="0"/>
          <w:sz w:val="24"/>
          <w:szCs w:val="24"/>
        </w:rPr>
      </w:pPr>
    </w:p>
    <w:p w:rsidR="00B6341C" w:rsidRDefault="001727CB" w:rsidP="002B6438">
      <w:pPr>
        <w:pStyle w:val="KonuBal"/>
        <w:tabs>
          <w:tab w:val="left" w:pos="1440"/>
          <w:tab w:val="left" w:pos="3420"/>
          <w:tab w:val="left" w:pos="4230"/>
        </w:tabs>
        <w:rPr>
          <w:rFonts w:ascii="Times New Roman" w:hAnsi="Times New Roman" w:cs="Times New Roman"/>
          <w:b w:val="0"/>
          <w:sz w:val="24"/>
          <w:szCs w:val="24"/>
        </w:rPr>
      </w:pPr>
      <w:r>
        <w:rPr>
          <w:noProof/>
        </w:rPr>
        <w:drawing>
          <wp:inline distT="0" distB="0" distL="0" distR="0" wp14:anchorId="2F540C1A" wp14:editId="14D9A2C8">
            <wp:extent cx="4572000" cy="2743200"/>
            <wp:effectExtent l="0" t="0" r="0" b="0"/>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sectPr w:rsidR="00B6341C" w:rsidSect="00C67CE3">
      <w:pgSz w:w="11906" w:h="16838"/>
      <w:pgMar w:top="709" w:right="284" w:bottom="99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A53B5"/>
    <w:multiLevelType w:val="hybridMultilevel"/>
    <w:tmpl w:val="2152A8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1325AF"/>
    <w:multiLevelType w:val="hybridMultilevel"/>
    <w:tmpl w:val="A4828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D83CE5"/>
    <w:multiLevelType w:val="hybridMultilevel"/>
    <w:tmpl w:val="A830CA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9A13D42"/>
    <w:multiLevelType w:val="hybridMultilevel"/>
    <w:tmpl w:val="90CA0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8921F3"/>
    <w:multiLevelType w:val="hybridMultilevel"/>
    <w:tmpl w:val="CE7C0D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B23D15"/>
    <w:multiLevelType w:val="hybridMultilevel"/>
    <w:tmpl w:val="08029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23A733B"/>
    <w:multiLevelType w:val="hybridMultilevel"/>
    <w:tmpl w:val="F9689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9D"/>
    <w:rsid w:val="00001FC5"/>
    <w:rsid w:val="000543B4"/>
    <w:rsid w:val="00071D4C"/>
    <w:rsid w:val="00074DE5"/>
    <w:rsid w:val="00093B0D"/>
    <w:rsid w:val="000A519D"/>
    <w:rsid w:val="000D2ACC"/>
    <w:rsid w:val="00100FB3"/>
    <w:rsid w:val="00132399"/>
    <w:rsid w:val="00157382"/>
    <w:rsid w:val="001727CB"/>
    <w:rsid w:val="00194CB1"/>
    <w:rsid w:val="00197686"/>
    <w:rsid w:val="001A42FF"/>
    <w:rsid w:val="00210D57"/>
    <w:rsid w:val="00232B15"/>
    <w:rsid w:val="00243FA1"/>
    <w:rsid w:val="0027015D"/>
    <w:rsid w:val="002934BC"/>
    <w:rsid w:val="002A3D4C"/>
    <w:rsid w:val="002B6438"/>
    <w:rsid w:val="003153FC"/>
    <w:rsid w:val="00316A3C"/>
    <w:rsid w:val="00335059"/>
    <w:rsid w:val="00355B14"/>
    <w:rsid w:val="00371177"/>
    <w:rsid w:val="00374E0D"/>
    <w:rsid w:val="00375B28"/>
    <w:rsid w:val="003B1CA2"/>
    <w:rsid w:val="003C2828"/>
    <w:rsid w:val="003D1AEE"/>
    <w:rsid w:val="003F091E"/>
    <w:rsid w:val="004049AD"/>
    <w:rsid w:val="004063EC"/>
    <w:rsid w:val="0042187A"/>
    <w:rsid w:val="00444785"/>
    <w:rsid w:val="004601BF"/>
    <w:rsid w:val="004652E3"/>
    <w:rsid w:val="004918EC"/>
    <w:rsid w:val="004D444B"/>
    <w:rsid w:val="00536516"/>
    <w:rsid w:val="005B24CD"/>
    <w:rsid w:val="005F1E3A"/>
    <w:rsid w:val="005F32F9"/>
    <w:rsid w:val="00600C7E"/>
    <w:rsid w:val="00677273"/>
    <w:rsid w:val="006B45D0"/>
    <w:rsid w:val="006C3F07"/>
    <w:rsid w:val="0073734C"/>
    <w:rsid w:val="0075195B"/>
    <w:rsid w:val="0075535B"/>
    <w:rsid w:val="007A1812"/>
    <w:rsid w:val="007D0D24"/>
    <w:rsid w:val="00803AFC"/>
    <w:rsid w:val="00817C70"/>
    <w:rsid w:val="008211F4"/>
    <w:rsid w:val="0083262C"/>
    <w:rsid w:val="008512D3"/>
    <w:rsid w:val="00861864"/>
    <w:rsid w:val="00871F1D"/>
    <w:rsid w:val="00873826"/>
    <w:rsid w:val="008F2B3C"/>
    <w:rsid w:val="009105B7"/>
    <w:rsid w:val="00924A33"/>
    <w:rsid w:val="00924E72"/>
    <w:rsid w:val="009446B5"/>
    <w:rsid w:val="00955DC9"/>
    <w:rsid w:val="00962E67"/>
    <w:rsid w:val="00970664"/>
    <w:rsid w:val="00981773"/>
    <w:rsid w:val="00984D1E"/>
    <w:rsid w:val="00992604"/>
    <w:rsid w:val="009E0F80"/>
    <w:rsid w:val="00A37299"/>
    <w:rsid w:val="00A41690"/>
    <w:rsid w:val="00A72B9D"/>
    <w:rsid w:val="00AB1698"/>
    <w:rsid w:val="00AC3136"/>
    <w:rsid w:val="00AF6EC0"/>
    <w:rsid w:val="00AF77DB"/>
    <w:rsid w:val="00B2149B"/>
    <w:rsid w:val="00B6341C"/>
    <w:rsid w:val="00B81743"/>
    <w:rsid w:val="00BB0A2A"/>
    <w:rsid w:val="00BC0A98"/>
    <w:rsid w:val="00C029E6"/>
    <w:rsid w:val="00C14C9C"/>
    <w:rsid w:val="00C22764"/>
    <w:rsid w:val="00C24F72"/>
    <w:rsid w:val="00C363AC"/>
    <w:rsid w:val="00C37395"/>
    <w:rsid w:val="00C6002B"/>
    <w:rsid w:val="00C67400"/>
    <w:rsid w:val="00C67CE3"/>
    <w:rsid w:val="00C7181A"/>
    <w:rsid w:val="00C71F8B"/>
    <w:rsid w:val="00C86095"/>
    <w:rsid w:val="00CA22ED"/>
    <w:rsid w:val="00CA3AEA"/>
    <w:rsid w:val="00CB7066"/>
    <w:rsid w:val="00CC4362"/>
    <w:rsid w:val="00CD415F"/>
    <w:rsid w:val="00D45B67"/>
    <w:rsid w:val="00D47AC9"/>
    <w:rsid w:val="00D554A6"/>
    <w:rsid w:val="00D64607"/>
    <w:rsid w:val="00D7194F"/>
    <w:rsid w:val="00D83252"/>
    <w:rsid w:val="00DA36A0"/>
    <w:rsid w:val="00E279BB"/>
    <w:rsid w:val="00E6144D"/>
    <w:rsid w:val="00E74555"/>
    <w:rsid w:val="00E750D9"/>
    <w:rsid w:val="00E83B6D"/>
    <w:rsid w:val="00EA2BAA"/>
    <w:rsid w:val="00EB055D"/>
    <w:rsid w:val="00EE639B"/>
    <w:rsid w:val="00F01718"/>
    <w:rsid w:val="00F16CA2"/>
    <w:rsid w:val="00F32057"/>
    <w:rsid w:val="00F40B12"/>
    <w:rsid w:val="00F616A5"/>
    <w:rsid w:val="00F86F62"/>
    <w:rsid w:val="00FB7408"/>
    <w:rsid w:val="00FB7E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CB463D-CC92-43CA-92CA-0241F6C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B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A72B9D"/>
    <w:pPr>
      <w:spacing w:before="240" w:after="60"/>
      <w:jc w:val="center"/>
      <w:outlineLvl w:val="0"/>
    </w:pPr>
    <w:rPr>
      <w:rFonts w:ascii="Arial" w:hAnsi="Arial" w:cs="Arial"/>
      <w:b/>
      <w:bCs/>
      <w:kern w:val="28"/>
      <w:sz w:val="32"/>
      <w:szCs w:val="32"/>
    </w:rPr>
  </w:style>
  <w:style w:type="character" w:customStyle="1" w:styleId="KonuBalChar">
    <w:name w:val="Konu Başlığı Char"/>
    <w:basedOn w:val="VarsaylanParagrafYazTipi"/>
    <w:link w:val="KonuBal"/>
    <w:rsid w:val="00A72B9D"/>
    <w:rPr>
      <w:rFonts w:ascii="Arial" w:eastAsia="Times New Roman" w:hAnsi="Arial" w:cs="Arial"/>
      <w:b/>
      <w:bCs/>
      <w:kern w:val="28"/>
      <w:sz w:val="32"/>
      <w:szCs w:val="32"/>
      <w:lang w:eastAsia="tr-TR"/>
    </w:rPr>
  </w:style>
  <w:style w:type="character" w:styleId="Kpr">
    <w:name w:val="Hyperlink"/>
    <w:basedOn w:val="VarsaylanParagrafYazTipi"/>
    <w:rsid w:val="00074DE5"/>
    <w:rPr>
      <w:color w:val="0000FF"/>
      <w:u w:val="single"/>
    </w:rPr>
  </w:style>
  <w:style w:type="paragraph" w:styleId="AralkYok">
    <w:name w:val="No Spacing"/>
    <w:uiPriority w:val="1"/>
    <w:qFormat/>
    <w:rsid w:val="00074DE5"/>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83B6D"/>
    <w:rPr>
      <w:rFonts w:ascii="Tahoma" w:hAnsi="Tahoma" w:cs="Tahoma"/>
      <w:sz w:val="16"/>
      <w:szCs w:val="16"/>
    </w:rPr>
  </w:style>
  <w:style w:type="character" w:customStyle="1" w:styleId="BalonMetniChar">
    <w:name w:val="Balon Metni Char"/>
    <w:basedOn w:val="VarsaylanParagrafYazTipi"/>
    <w:link w:val="BalonMetni"/>
    <w:uiPriority w:val="99"/>
    <w:semiHidden/>
    <w:rsid w:val="00E83B6D"/>
    <w:rPr>
      <w:rFonts w:ascii="Tahoma" w:eastAsia="Times New Roman" w:hAnsi="Tahoma" w:cs="Tahoma"/>
      <w:sz w:val="16"/>
      <w:szCs w:val="16"/>
      <w:lang w:eastAsia="tr-TR"/>
    </w:rPr>
  </w:style>
  <w:style w:type="paragraph" w:styleId="ResimYazs">
    <w:name w:val="caption"/>
    <w:basedOn w:val="Normal"/>
    <w:next w:val="Normal"/>
    <w:uiPriority w:val="35"/>
    <w:unhideWhenUsed/>
    <w:qFormat/>
    <w:rsid w:val="00C7181A"/>
    <w:pPr>
      <w:spacing w:after="200"/>
    </w:pPr>
    <w:rPr>
      <w:b/>
      <w:bCs/>
      <w:color w:val="4F81BD" w:themeColor="accent1"/>
      <w:sz w:val="18"/>
      <w:szCs w:val="18"/>
    </w:rPr>
  </w:style>
  <w:style w:type="paragraph" w:styleId="ListeParagraf">
    <w:name w:val="List Paragraph"/>
    <w:basedOn w:val="Normal"/>
    <w:uiPriority w:val="34"/>
    <w:qFormat/>
    <w:rsid w:val="00EA2BA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6428">
      <w:bodyDiv w:val="1"/>
      <w:marLeft w:val="0"/>
      <w:marRight w:val="0"/>
      <w:marTop w:val="0"/>
      <w:marBottom w:val="0"/>
      <w:divBdr>
        <w:top w:val="none" w:sz="0" w:space="0" w:color="auto"/>
        <w:left w:val="none" w:sz="0" w:space="0" w:color="auto"/>
        <w:bottom w:val="none" w:sz="0" w:space="0" w:color="auto"/>
        <w:right w:val="none" w:sz="0" w:space="0" w:color="auto"/>
      </w:divBdr>
    </w:div>
    <w:div w:id="3829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Pelin\Documents\M&#252;dek%202017%202018%20&#199;al&#305;&#351;malar&#305;\&#304;&#351;veren%20ara&#351;t&#305;rmas&#305;%202017-2018.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Eğitim Durumu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Demografik!$A$93:$A$95</c:f>
              <c:strCache>
                <c:ptCount val="3"/>
                <c:pt idx="0">
                  <c:v>Lisans</c:v>
                </c:pt>
                <c:pt idx="1">
                  <c:v>Yük. Lisans</c:v>
                </c:pt>
                <c:pt idx="2">
                  <c:v>Lise</c:v>
                </c:pt>
              </c:strCache>
            </c:strRef>
          </c:cat>
          <c:val>
            <c:numRef>
              <c:f>Demografik!$B$93:$B$95</c:f>
              <c:numCache>
                <c:formatCode>General</c:formatCode>
                <c:ptCount val="3"/>
                <c:pt idx="0">
                  <c:v>54</c:v>
                </c:pt>
                <c:pt idx="1">
                  <c:v>18</c:v>
                </c:pt>
                <c:pt idx="2">
                  <c:v>3</c:v>
                </c:pt>
              </c:numCache>
            </c:numRef>
          </c:val>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Yabancı dil bilgisinin yeterli düzeyde olması</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Karşılaştırma!$AZ$4</c:f>
              <c:strCache>
                <c:ptCount val="1"/>
                <c:pt idx="0">
                  <c:v>2012-2013</c:v>
                </c:pt>
              </c:strCache>
            </c:strRef>
          </c:tx>
          <c:spPr>
            <a:solidFill>
              <a:schemeClr val="accent1"/>
            </a:solidFill>
            <a:ln>
              <a:noFill/>
            </a:ln>
            <a:effectLst/>
          </c:spPr>
          <c:invertIfNegative val="0"/>
          <c:cat>
            <c:strRef>
              <c:f>Karşılaştırma!$AY$5:$AY$10</c:f>
              <c:strCache>
                <c:ptCount val="6"/>
                <c:pt idx="0">
                  <c:v>Emin Değil </c:v>
                </c:pt>
                <c:pt idx="1">
                  <c:v>Zayıf</c:v>
                </c:pt>
                <c:pt idx="2">
                  <c:v>Orta </c:v>
                </c:pt>
                <c:pt idx="3">
                  <c:v>İyi</c:v>
                </c:pt>
                <c:pt idx="4">
                  <c:v>Çok İyi</c:v>
                </c:pt>
                <c:pt idx="5">
                  <c:v>Mükemmel</c:v>
                </c:pt>
              </c:strCache>
            </c:strRef>
          </c:cat>
          <c:val>
            <c:numRef>
              <c:f>Karşılaştırma!$AZ$5:$AZ$10</c:f>
              <c:numCache>
                <c:formatCode>General</c:formatCode>
                <c:ptCount val="6"/>
                <c:pt idx="0">
                  <c:v>0.05</c:v>
                </c:pt>
                <c:pt idx="1">
                  <c:v>0</c:v>
                </c:pt>
                <c:pt idx="2">
                  <c:v>7.0000000000000007E-2</c:v>
                </c:pt>
                <c:pt idx="3">
                  <c:v>0.3</c:v>
                </c:pt>
                <c:pt idx="4">
                  <c:v>0.38</c:v>
                </c:pt>
                <c:pt idx="5">
                  <c:v>0.2</c:v>
                </c:pt>
              </c:numCache>
            </c:numRef>
          </c:val>
        </c:ser>
        <c:ser>
          <c:idx val="1"/>
          <c:order val="1"/>
          <c:tx>
            <c:strRef>
              <c:f>Karşılaştırma!$BA$4</c:f>
              <c:strCache>
                <c:ptCount val="1"/>
                <c:pt idx="0">
                  <c:v>2013-2014</c:v>
                </c:pt>
              </c:strCache>
            </c:strRef>
          </c:tx>
          <c:spPr>
            <a:solidFill>
              <a:schemeClr val="accent2"/>
            </a:solidFill>
            <a:ln>
              <a:noFill/>
            </a:ln>
            <a:effectLst/>
          </c:spPr>
          <c:invertIfNegative val="0"/>
          <c:cat>
            <c:strRef>
              <c:f>Karşılaştırma!$AY$5:$AY$10</c:f>
              <c:strCache>
                <c:ptCount val="6"/>
                <c:pt idx="0">
                  <c:v>Emin Değil </c:v>
                </c:pt>
                <c:pt idx="1">
                  <c:v>Zayıf</c:v>
                </c:pt>
                <c:pt idx="2">
                  <c:v>Orta </c:v>
                </c:pt>
                <c:pt idx="3">
                  <c:v>İyi</c:v>
                </c:pt>
                <c:pt idx="4">
                  <c:v>Çok İyi</c:v>
                </c:pt>
                <c:pt idx="5">
                  <c:v>Mükemmel</c:v>
                </c:pt>
              </c:strCache>
            </c:strRef>
          </c:cat>
          <c:val>
            <c:numRef>
              <c:f>Karşılaştırma!$BA$5:$BA$10</c:f>
              <c:numCache>
                <c:formatCode>General</c:formatCode>
                <c:ptCount val="6"/>
                <c:pt idx="0">
                  <c:v>0.04</c:v>
                </c:pt>
                <c:pt idx="1">
                  <c:v>0.02</c:v>
                </c:pt>
                <c:pt idx="2">
                  <c:v>0.04</c:v>
                </c:pt>
                <c:pt idx="3">
                  <c:v>0.28999999999999998</c:v>
                </c:pt>
                <c:pt idx="4">
                  <c:v>0.18</c:v>
                </c:pt>
                <c:pt idx="5">
                  <c:v>0.44</c:v>
                </c:pt>
              </c:numCache>
            </c:numRef>
          </c:val>
        </c:ser>
        <c:ser>
          <c:idx val="2"/>
          <c:order val="2"/>
          <c:tx>
            <c:strRef>
              <c:f>Karşılaştırma!$BB$4</c:f>
              <c:strCache>
                <c:ptCount val="1"/>
                <c:pt idx="0">
                  <c:v>2014-2015</c:v>
                </c:pt>
              </c:strCache>
            </c:strRef>
          </c:tx>
          <c:spPr>
            <a:solidFill>
              <a:schemeClr val="accent3"/>
            </a:solidFill>
            <a:ln>
              <a:noFill/>
            </a:ln>
            <a:effectLst/>
          </c:spPr>
          <c:invertIfNegative val="0"/>
          <c:cat>
            <c:strRef>
              <c:f>Karşılaştırma!$AY$5:$AY$10</c:f>
              <c:strCache>
                <c:ptCount val="6"/>
                <c:pt idx="0">
                  <c:v>Emin Değil </c:v>
                </c:pt>
                <c:pt idx="1">
                  <c:v>Zayıf</c:v>
                </c:pt>
                <c:pt idx="2">
                  <c:v>Orta </c:v>
                </c:pt>
                <c:pt idx="3">
                  <c:v>İyi</c:v>
                </c:pt>
                <c:pt idx="4">
                  <c:v>Çok İyi</c:v>
                </c:pt>
                <c:pt idx="5">
                  <c:v>Mükemmel</c:v>
                </c:pt>
              </c:strCache>
            </c:strRef>
          </c:cat>
          <c:val>
            <c:numRef>
              <c:f>Karşılaştırma!$BB$5:$BB$10</c:f>
              <c:numCache>
                <c:formatCode>0.00</c:formatCode>
                <c:ptCount val="6"/>
                <c:pt idx="0">
                  <c:v>7.575757575757576E-2</c:v>
                </c:pt>
                <c:pt idx="1">
                  <c:v>1.5151515151515152E-2</c:v>
                </c:pt>
                <c:pt idx="2">
                  <c:v>9.0909090909090912E-2</c:v>
                </c:pt>
                <c:pt idx="3">
                  <c:v>0.18181818181818182</c:v>
                </c:pt>
                <c:pt idx="4">
                  <c:v>0.37878787878787878</c:v>
                </c:pt>
                <c:pt idx="5">
                  <c:v>0.25757575757575757</c:v>
                </c:pt>
              </c:numCache>
            </c:numRef>
          </c:val>
        </c:ser>
        <c:ser>
          <c:idx val="3"/>
          <c:order val="3"/>
          <c:tx>
            <c:strRef>
              <c:f>Karşılaştırma!$BC$4</c:f>
              <c:strCache>
                <c:ptCount val="1"/>
                <c:pt idx="0">
                  <c:v>2015-2016</c:v>
                </c:pt>
              </c:strCache>
            </c:strRef>
          </c:tx>
          <c:spPr>
            <a:solidFill>
              <a:schemeClr val="accent4"/>
            </a:solidFill>
            <a:ln>
              <a:noFill/>
            </a:ln>
            <a:effectLst/>
          </c:spPr>
          <c:invertIfNegative val="0"/>
          <c:cat>
            <c:strRef>
              <c:f>Karşılaştırma!$AY$5:$AY$10</c:f>
              <c:strCache>
                <c:ptCount val="6"/>
                <c:pt idx="0">
                  <c:v>Emin Değil </c:v>
                </c:pt>
                <c:pt idx="1">
                  <c:v>Zayıf</c:v>
                </c:pt>
                <c:pt idx="2">
                  <c:v>Orta </c:v>
                </c:pt>
                <c:pt idx="3">
                  <c:v>İyi</c:v>
                </c:pt>
                <c:pt idx="4">
                  <c:v>Çok İyi</c:v>
                </c:pt>
                <c:pt idx="5">
                  <c:v>Mükemmel</c:v>
                </c:pt>
              </c:strCache>
            </c:strRef>
          </c:cat>
          <c:val>
            <c:numRef>
              <c:f>Karşılaştırma!$BC$5:$BC$10</c:f>
              <c:numCache>
                <c:formatCode>0.00</c:formatCode>
                <c:ptCount val="6"/>
                <c:pt idx="0">
                  <c:v>5.7471264367816091E-2</c:v>
                </c:pt>
                <c:pt idx="1">
                  <c:v>0</c:v>
                </c:pt>
                <c:pt idx="2">
                  <c:v>5.7471264367816091E-2</c:v>
                </c:pt>
                <c:pt idx="3">
                  <c:v>0.22988505747126436</c:v>
                </c:pt>
                <c:pt idx="4">
                  <c:v>0.35632183908045978</c:v>
                </c:pt>
                <c:pt idx="5">
                  <c:v>0.2988505747126437</c:v>
                </c:pt>
              </c:numCache>
            </c:numRef>
          </c:val>
        </c:ser>
        <c:ser>
          <c:idx val="4"/>
          <c:order val="4"/>
          <c:tx>
            <c:strRef>
              <c:f>Karşılaştırma!$BD$4</c:f>
              <c:strCache>
                <c:ptCount val="1"/>
                <c:pt idx="0">
                  <c:v>2016-2017</c:v>
                </c:pt>
              </c:strCache>
            </c:strRef>
          </c:tx>
          <c:spPr>
            <a:solidFill>
              <a:schemeClr val="accent5"/>
            </a:solidFill>
            <a:ln>
              <a:noFill/>
            </a:ln>
            <a:effectLst/>
          </c:spPr>
          <c:invertIfNegative val="0"/>
          <c:cat>
            <c:strRef>
              <c:f>Karşılaştırma!$AY$5:$AY$10</c:f>
              <c:strCache>
                <c:ptCount val="6"/>
                <c:pt idx="0">
                  <c:v>Emin Değil </c:v>
                </c:pt>
                <c:pt idx="1">
                  <c:v>Zayıf</c:v>
                </c:pt>
                <c:pt idx="2">
                  <c:v>Orta </c:v>
                </c:pt>
                <c:pt idx="3">
                  <c:v>İyi</c:v>
                </c:pt>
                <c:pt idx="4">
                  <c:v>Çok İyi</c:v>
                </c:pt>
                <c:pt idx="5">
                  <c:v>Mükemmel</c:v>
                </c:pt>
              </c:strCache>
            </c:strRef>
          </c:cat>
          <c:val>
            <c:numRef>
              <c:f>Karşılaştırma!$BD$5:$BD$10</c:f>
              <c:numCache>
                <c:formatCode>0.00</c:formatCode>
                <c:ptCount val="6"/>
                <c:pt idx="0">
                  <c:v>2.7027027027027029E-2</c:v>
                </c:pt>
                <c:pt idx="1">
                  <c:v>1.3513513513513514E-2</c:v>
                </c:pt>
                <c:pt idx="2">
                  <c:v>2.7027027027027029E-2</c:v>
                </c:pt>
                <c:pt idx="3">
                  <c:v>0.28378378378378377</c:v>
                </c:pt>
                <c:pt idx="4">
                  <c:v>0.27027027027027029</c:v>
                </c:pt>
                <c:pt idx="5">
                  <c:v>0.3783783783783784</c:v>
                </c:pt>
              </c:numCache>
            </c:numRef>
          </c:val>
        </c:ser>
        <c:ser>
          <c:idx val="5"/>
          <c:order val="5"/>
          <c:tx>
            <c:strRef>
              <c:f>Karşılaştırma!$BE$4</c:f>
              <c:strCache>
                <c:ptCount val="1"/>
                <c:pt idx="0">
                  <c:v>2017-2018</c:v>
                </c:pt>
              </c:strCache>
            </c:strRef>
          </c:tx>
          <c:spPr>
            <a:solidFill>
              <a:schemeClr val="accent6"/>
            </a:solidFill>
            <a:ln>
              <a:noFill/>
            </a:ln>
            <a:effectLst/>
          </c:spPr>
          <c:invertIfNegative val="0"/>
          <c:cat>
            <c:strRef>
              <c:f>Karşılaştırma!$AY$5:$AY$10</c:f>
              <c:strCache>
                <c:ptCount val="6"/>
                <c:pt idx="0">
                  <c:v>Emin Değil </c:v>
                </c:pt>
                <c:pt idx="1">
                  <c:v>Zayıf</c:v>
                </c:pt>
                <c:pt idx="2">
                  <c:v>Orta </c:v>
                </c:pt>
                <c:pt idx="3">
                  <c:v>İyi</c:v>
                </c:pt>
                <c:pt idx="4">
                  <c:v>Çok İyi</c:v>
                </c:pt>
                <c:pt idx="5">
                  <c:v>Mükemmel</c:v>
                </c:pt>
              </c:strCache>
            </c:strRef>
          </c:cat>
          <c:val>
            <c:numRef>
              <c:f>Karşılaştırma!$BE$5:$BE$10</c:f>
              <c:numCache>
                <c:formatCode>0.00</c:formatCode>
                <c:ptCount val="6"/>
                <c:pt idx="0">
                  <c:v>0.12222222222222222</c:v>
                </c:pt>
                <c:pt idx="1">
                  <c:v>1.1111111111111112E-2</c:v>
                </c:pt>
                <c:pt idx="2">
                  <c:v>7.7777777777777779E-2</c:v>
                </c:pt>
                <c:pt idx="3">
                  <c:v>0.28888888888888886</c:v>
                </c:pt>
                <c:pt idx="4">
                  <c:v>0.3</c:v>
                </c:pt>
                <c:pt idx="5">
                  <c:v>0.2</c:v>
                </c:pt>
              </c:numCache>
            </c:numRef>
          </c:val>
        </c:ser>
        <c:dLbls>
          <c:showLegendKey val="0"/>
          <c:showVal val="0"/>
          <c:showCatName val="0"/>
          <c:showSerName val="0"/>
          <c:showPercent val="0"/>
          <c:showBubbleSize val="0"/>
        </c:dLbls>
        <c:gapWidth val="219"/>
        <c:overlap val="-27"/>
        <c:axId val="418329960"/>
        <c:axId val="432875544"/>
      </c:barChart>
      <c:catAx>
        <c:axId val="41832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32875544"/>
        <c:crosses val="autoZero"/>
        <c:auto val="1"/>
        <c:lblAlgn val="ctr"/>
        <c:lblOffset val="100"/>
        <c:noMultiLvlLbl val="0"/>
      </c:catAx>
      <c:valAx>
        <c:axId val="432875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8329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Modern tasarım yöntemlerini, teknik ve araçları seçme ve kullanma becerisi</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Karşılaştırma!$BG$4</c:f>
              <c:strCache>
                <c:ptCount val="1"/>
                <c:pt idx="0">
                  <c:v>2012-2013</c:v>
                </c:pt>
              </c:strCache>
            </c:strRef>
          </c:tx>
          <c:spPr>
            <a:solidFill>
              <a:schemeClr val="accent1"/>
            </a:solidFill>
            <a:ln>
              <a:noFill/>
            </a:ln>
            <a:effectLst/>
          </c:spPr>
          <c:invertIfNegative val="0"/>
          <c:cat>
            <c:strRef>
              <c:f>Karşılaştırma!$BF$5:$BF$10</c:f>
              <c:strCache>
                <c:ptCount val="6"/>
                <c:pt idx="0">
                  <c:v>Emin Değil </c:v>
                </c:pt>
                <c:pt idx="1">
                  <c:v>Zayıf</c:v>
                </c:pt>
                <c:pt idx="2">
                  <c:v>Orta </c:v>
                </c:pt>
                <c:pt idx="3">
                  <c:v>İyi</c:v>
                </c:pt>
                <c:pt idx="4">
                  <c:v>Çok İyi</c:v>
                </c:pt>
                <c:pt idx="5">
                  <c:v>Mükemmel</c:v>
                </c:pt>
              </c:strCache>
            </c:strRef>
          </c:cat>
          <c:val>
            <c:numRef>
              <c:f>Karşılaştırma!$BG$5:$BG$10</c:f>
              <c:numCache>
                <c:formatCode>General</c:formatCode>
                <c:ptCount val="6"/>
                <c:pt idx="0">
                  <c:v>0.05</c:v>
                </c:pt>
                <c:pt idx="1">
                  <c:v>0.02</c:v>
                </c:pt>
                <c:pt idx="2">
                  <c:v>0.05</c:v>
                </c:pt>
                <c:pt idx="3">
                  <c:v>0.23</c:v>
                </c:pt>
                <c:pt idx="4">
                  <c:v>0.36</c:v>
                </c:pt>
                <c:pt idx="5">
                  <c:v>0.28999999999999998</c:v>
                </c:pt>
              </c:numCache>
            </c:numRef>
          </c:val>
        </c:ser>
        <c:ser>
          <c:idx val="1"/>
          <c:order val="1"/>
          <c:tx>
            <c:strRef>
              <c:f>Karşılaştırma!$BH$4</c:f>
              <c:strCache>
                <c:ptCount val="1"/>
                <c:pt idx="0">
                  <c:v>2013-2014</c:v>
                </c:pt>
              </c:strCache>
            </c:strRef>
          </c:tx>
          <c:spPr>
            <a:solidFill>
              <a:schemeClr val="accent2"/>
            </a:solidFill>
            <a:ln>
              <a:noFill/>
            </a:ln>
            <a:effectLst/>
          </c:spPr>
          <c:invertIfNegative val="0"/>
          <c:cat>
            <c:strRef>
              <c:f>Karşılaştırma!$BF$5:$BF$10</c:f>
              <c:strCache>
                <c:ptCount val="6"/>
                <c:pt idx="0">
                  <c:v>Emin Değil </c:v>
                </c:pt>
                <c:pt idx="1">
                  <c:v>Zayıf</c:v>
                </c:pt>
                <c:pt idx="2">
                  <c:v>Orta </c:v>
                </c:pt>
                <c:pt idx="3">
                  <c:v>İyi</c:v>
                </c:pt>
                <c:pt idx="4">
                  <c:v>Çok İyi</c:v>
                </c:pt>
                <c:pt idx="5">
                  <c:v>Mükemmel</c:v>
                </c:pt>
              </c:strCache>
            </c:strRef>
          </c:cat>
          <c:val>
            <c:numRef>
              <c:f>Karşılaştırma!$BH$5:$BH$10</c:f>
              <c:numCache>
                <c:formatCode>General</c:formatCode>
                <c:ptCount val="6"/>
                <c:pt idx="0">
                  <c:v>7.0000000000000007E-2</c:v>
                </c:pt>
                <c:pt idx="1">
                  <c:v>0</c:v>
                </c:pt>
                <c:pt idx="2">
                  <c:v>0.05</c:v>
                </c:pt>
                <c:pt idx="3">
                  <c:v>0.28999999999999998</c:v>
                </c:pt>
                <c:pt idx="4">
                  <c:v>0.28999999999999998</c:v>
                </c:pt>
                <c:pt idx="5">
                  <c:v>0.31</c:v>
                </c:pt>
              </c:numCache>
            </c:numRef>
          </c:val>
        </c:ser>
        <c:ser>
          <c:idx val="2"/>
          <c:order val="2"/>
          <c:tx>
            <c:strRef>
              <c:f>Karşılaştırma!$BI$4</c:f>
              <c:strCache>
                <c:ptCount val="1"/>
                <c:pt idx="0">
                  <c:v>2014-2015</c:v>
                </c:pt>
              </c:strCache>
            </c:strRef>
          </c:tx>
          <c:spPr>
            <a:solidFill>
              <a:schemeClr val="accent3"/>
            </a:solidFill>
            <a:ln>
              <a:noFill/>
            </a:ln>
            <a:effectLst/>
          </c:spPr>
          <c:invertIfNegative val="0"/>
          <c:cat>
            <c:strRef>
              <c:f>Karşılaştırma!$BF$5:$BF$10</c:f>
              <c:strCache>
                <c:ptCount val="6"/>
                <c:pt idx="0">
                  <c:v>Emin Değil </c:v>
                </c:pt>
                <c:pt idx="1">
                  <c:v>Zayıf</c:v>
                </c:pt>
                <c:pt idx="2">
                  <c:v>Orta </c:v>
                </c:pt>
                <c:pt idx="3">
                  <c:v>İyi</c:v>
                </c:pt>
                <c:pt idx="4">
                  <c:v>Çok İyi</c:v>
                </c:pt>
                <c:pt idx="5">
                  <c:v>Mükemmel</c:v>
                </c:pt>
              </c:strCache>
            </c:strRef>
          </c:cat>
          <c:val>
            <c:numRef>
              <c:f>Karşılaştırma!$BI$5:$BI$10</c:f>
              <c:numCache>
                <c:formatCode>0.00</c:formatCode>
                <c:ptCount val="6"/>
                <c:pt idx="0">
                  <c:v>6.1538461538461542E-2</c:v>
                </c:pt>
                <c:pt idx="1">
                  <c:v>0</c:v>
                </c:pt>
                <c:pt idx="2">
                  <c:v>4.6153846153846156E-2</c:v>
                </c:pt>
                <c:pt idx="3">
                  <c:v>0.26153846153846155</c:v>
                </c:pt>
                <c:pt idx="4">
                  <c:v>0.32307692307692309</c:v>
                </c:pt>
                <c:pt idx="5">
                  <c:v>0.30769230769230771</c:v>
                </c:pt>
              </c:numCache>
            </c:numRef>
          </c:val>
        </c:ser>
        <c:ser>
          <c:idx val="3"/>
          <c:order val="3"/>
          <c:tx>
            <c:strRef>
              <c:f>Karşılaştırma!$BJ$4</c:f>
              <c:strCache>
                <c:ptCount val="1"/>
                <c:pt idx="0">
                  <c:v>2015-2016</c:v>
                </c:pt>
              </c:strCache>
            </c:strRef>
          </c:tx>
          <c:spPr>
            <a:solidFill>
              <a:schemeClr val="accent4"/>
            </a:solidFill>
            <a:ln>
              <a:noFill/>
            </a:ln>
            <a:effectLst/>
          </c:spPr>
          <c:invertIfNegative val="0"/>
          <c:cat>
            <c:strRef>
              <c:f>Karşılaştırma!$BF$5:$BF$10</c:f>
              <c:strCache>
                <c:ptCount val="6"/>
                <c:pt idx="0">
                  <c:v>Emin Değil </c:v>
                </c:pt>
                <c:pt idx="1">
                  <c:v>Zayıf</c:v>
                </c:pt>
                <c:pt idx="2">
                  <c:v>Orta </c:v>
                </c:pt>
                <c:pt idx="3">
                  <c:v>İyi</c:v>
                </c:pt>
                <c:pt idx="4">
                  <c:v>Çok İyi</c:v>
                </c:pt>
                <c:pt idx="5">
                  <c:v>Mükemmel</c:v>
                </c:pt>
              </c:strCache>
            </c:strRef>
          </c:cat>
          <c:val>
            <c:numRef>
              <c:f>Karşılaştırma!$BJ$5:$BJ$10</c:f>
              <c:numCache>
                <c:formatCode>0.00</c:formatCode>
                <c:ptCount val="6"/>
                <c:pt idx="0">
                  <c:v>2.2988505747126436E-2</c:v>
                </c:pt>
                <c:pt idx="1">
                  <c:v>1.1494252873563218E-2</c:v>
                </c:pt>
                <c:pt idx="2">
                  <c:v>2.2988505747126436E-2</c:v>
                </c:pt>
                <c:pt idx="3">
                  <c:v>0.21839080459770116</c:v>
                </c:pt>
                <c:pt idx="4">
                  <c:v>0.32183908045977011</c:v>
                </c:pt>
                <c:pt idx="5">
                  <c:v>0.40229885057471265</c:v>
                </c:pt>
              </c:numCache>
            </c:numRef>
          </c:val>
        </c:ser>
        <c:ser>
          <c:idx val="4"/>
          <c:order val="4"/>
          <c:tx>
            <c:strRef>
              <c:f>Karşılaştırma!$BK$4</c:f>
              <c:strCache>
                <c:ptCount val="1"/>
                <c:pt idx="0">
                  <c:v>2016-2017</c:v>
                </c:pt>
              </c:strCache>
            </c:strRef>
          </c:tx>
          <c:spPr>
            <a:solidFill>
              <a:schemeClr val="accent5"/>
            </a:solidFill>
            <a:ln>
              <a:noFill/>
            </a:ln>
            <a:effectLst/>
          </c:spPr>
          <c:invertIfNegative val="0"/>
          <c:cat>
            <c:strRef>
              <c:f>Karşılaştırma!$BF$5:$BF$10</c:f>
              <c:strCache>
                <c:ptCount val="6"/>
                <c:pt idx="0">
                  <c:v>Emin Değil </c:v>
                </c:pt>
                <c:pt idx="1">
                  <c:v>Zayıf</c:v>
                </c:pt>
                <c:pt idx="2">
                  <c:v>Orta </c:v>
                </c:pt>
                <c:pt idx="3">
                  <c:v>İyi</c:v>
                </c:pt>
                <c:pt idx="4">
                  <c:v>Çok İyi</c:v>
                </c:pt>
                <c:pt idx="5">
                  <c:v>Mükemmel</c:v>
                </c:pt>
              </c:strCache>
            </c:strRef>
          </c:cat>
          <c:val>
            <c:numRef>
              <c:f>Karşılaştırma!$BK$5:$BK$10</c:f>
              <c:numCache>
                <c:formatCode>0.00</c:formatCode>
                <c:ptCount val="6"/>
                <c:pt idx="0">
                  <c:v>2.7397260273972601E-2</c:v>
                </c:pt>
                <c:pt idx="1">
                  <c:v>0</c:v>
                </c:pt>
                <c:pt idx="2">
                  <c:v>4.1095890410958902E-2</c:v>
                </c:pt>
                <c:pt idx="3">
                  <c:v>0.27397260273972601</c:v>
                </c:pt>
                <c:pt idx="4">
                  <c:v>0.34246575342465752</c:v>
                </c:pt>
                <c:pt idx="5">
                  <c:v>0.31506849315068491</c:v>
                </c:pt>
              </c:numCache>
            </c:numRef>
          </c:val>
        </c:ser>
        <c:ser>
          <c:idx val="5"/>
          <c:order val="5"/>
          <c:tx>
            <c:strRef>
              <c:f>Karşılaştırma!$BL$4</c:f>
              <c:strCache>
                <c:ptCount val="1"/>
                <c:pt idx="0">
                  <c:v>2017-2018</c:v>
                </c:pt>
              </c:strCache>
            </c:strRef>
          </c:tx>
          <c:spPr>
            <a:solidFill>
              <a:schemeClr val="accent6"/>
            </a:solidFill>
            <a:ln>
              <a:noFill/>
            </a:ln>
            <a:effectLst/>
          </c:spPr>
          <c:invertIfNegative val="0"/>
          <c:cat>
            <c:strRef>
              <c:f>Karşılaştırma!$BF$5:$BF$10</c:f>
              <c:strCache>
                <c:ptCount val="6"/>
                <c:pt idx="0">
                  <c:v>Emin Değil </c:v>
                </c:pt>
                <c:pt idx="1">
                  <c:v>Zayıf</c:v>
                </c:pt>
                <c:pt idx="2">
                  <c:v>Orta </c:v>
                </c:pt>
                <c:pt idx="3">
                  <c:v>İyi</c:v>
                </c:pt>
                <c:pt idx="4">
                  <c:v>Çok İyi</c:v>
                </c:pt>
                <c:pt idx="5">
                  <c:v>Mükemmel</c:v>
                </c:pt>
              </c:strCache>
            </c:strRef>
          </c:cat>
          <c:val>
            <c:numRef>
              <c:f>Karşılaştırma!$BL$5:$BL$10</c:f>
              <c:numCache>
                <c:formatCode>0.00</c:formatCode>
                <c:ptCount val="6"/>
                <c:pt idx="0">
                  <c:v>3.3333333333333333E-2</c:v>
                </c:pt>
                <c:pt idx="1">
                  <c:v>1.1111111111111112E-2</c:v>
                </c:pt>
                <c:pt idx="2">
                  <c:v>8.8888888888888892E-2</c:v>
                </c:pt>
                <c:pt idx="3">
                  <c:v>0.18888888888888888</c:v>
                </c:pt>
                <c:pt idx="4">
                  <c:v>0.37777777777777777</c:v>
                </c:pt>
                <c:pt idx="5">
                  <c:v>0.3</c:v>
                </c:pt>
              </c:numCache>
            </c:numRef>
          </c:val>
        </c:ser>
        <c:dLbls>
          <c:showLegendKey val="0"/>
          <c:showVal val="0"/>
          <c:showCatName val="0"/>
          <c:showSerName val="0"/>
          <c:showPercent val="0"/>
          <c:showBubbleSize val="0"/>
        </c:dLbls>
        <c:gapWidth val="219"/>
        <c:overlap val="-27"/>
        <c:axId val="432877896"/>
        <c:axId val="432878288"/>
      </c:barChart>
      <c:catAx>
        <c:axId val="43287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32878288"/>
        <c:crosses val="autoZero"/>
        <c:auto val="1"/>
        <c:lblAlgn val="ctr"/>
        <c:lblOffset val="100"/>
        <c:noMultiLvlLbl val="0"/>
      </c:catAx>
      <c:valAx>
        <c:axId val="43287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32877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Bilgisayar ve yeni teknolojileri kullanma becerisi</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Karşılaştırma!$BN$4</c:f>
              <c:strCache>
                <c:ptCount val="1"/>
                <c:pt idx="0">
                  <c:v>2012-2013</c:v>
                </c:pt>
              </c:strCache>
            </c:strRef>
          </c:tx>
          <c:spPr>
            <a:solidFill>
              <a:schemeClr val="accent1"/>
            </a:solidFill>
            <a:ln>
              <a:noFill/>
            </a:ln>
            <a:effectLst/>
          </c:spPr>
          <c:invertIfNegative val="0"/>
          <c:cat>
            <c:strRef>
              <c:f>Karşılaştırma!$BM$5:$BM$10</c:f>
              <c:strCache>
                <c:ptCount val="6"/>
                <c:pt idx="0">
                  <c:v>Emin Değil </c:v>
                </c:pt>
                <c:pt idx="1">
                  <c:v>Zayıf</c:v>
                </c:pt>
                <c:pt idx="2">
                  <c:v>Orta </c:v>
                </c:pt>
                <c:pt idx="3">
                  <c:v>İyi</c:v>
                </c:pt>
                <c:pt idx="4">
                  <c:v>Çok İyi</c:v>
                </c:pt>
                <c:pt idx="5">
                  <c:v>Mükemmel</c:v>
                </c:pt>
              </c:strCache>
            </c:strRef>
          </c:cat>
          <c:val>
            <c:numRef>
              <c:f>Karşılaştırma!$BN$5:$BN$10</c:f>
              <c:numCache>
                <c:formatCode>General</c:formatCode>
                <c:ptCount val="6"/>
                <c:pt idx="0">
                  <c:v>0.02</c:v>
                </c:pt>
                <c:pt idx="1">
                  <c:v>0</c:v>
                </c:pt>
                <c:pt idx="2">
                  <c:v>0.04</c:v>
                </c:pt>
                <c:pt idx="3">
                  <c:v>0.18</c:v>
                </c:pt>
                <c:pt idx="4">
                  <c:v>0.34</c:v>
                </c:pt>
                <c:pt idx="5">
                  <c:v>0.43</c:v>
                </c:pt>
              </c:numCache>
            </c:numRef>
          </c:val>
        </c:ser>
        <c:ser>
          <c:idx val="1"/>
          <c:order val="1"/>
          <c:tx>
            <c:strRef>
              <c:f>Karşılaştırma!$BO$4</c:f>
              <c:strCache>
                <c:ptCount val="1"/>
                <c:pt idx="0">
                  <c:v>2013-2014</c:v>
                </c:pt>
              </c:strCache>
            </c:strRef>
          </c:tx>
          <c:spPr>
            <a:solidFill>
              <a:schemeClr val="accent2"/>
            </a:solidFill>
            <a:ln>
              <a:noFill/>
            </a:ln>
            <a:effectLst/>
          </c:spPr>
          <c:invertIfNegative val="0"/>
          <c:cat>
            <c:strRef>
              <c:f>Karşılaştırma!$BM$5:$BM$10</c:f>
              <c:strCache>
                <c:ptCount val="6"/>
                <c:pt idx="0">
                  <c:v>Emin Değil </c:v>
                </c:pt>
                <c:pt idx="1">
                  <c:v>Zayıf</c:v>
                </c:pt>
                <c:pt idx="2">
                  <c:v>Orta </c:v>
                </c:pt>
                <c:pt idx="3">
                  <c:v>İyi</c:v>
                </c:pt>
                <c:pt idx="4">
                  <c:v>Çok İyi</c:v>
                </c:pt>
                <c:pt idx="5">
                  <c:v>Mükemmel</c:v>
                </c:pt>
              </c:strCache>
            </c:strRef>
          </c:cat>
          <c:val>
            <c:numRef>
              <c:f>Karşılaştırma!$BO$5:$BO$10</c:f>
              <c:numCache>
                <c:formatCode>General</c:formatCode>
                <c:ptCount val="6"/>
                <c:pt idx="0">
                  <c:v>0</c:v>
                </c:pt>
                <c:pt idx="1">
                  <c:v>0.02</c:v>
                </c:pt>
                <c:pt idx="2">
                  <c:v>0.02</c:v>
                </c:pt>
                <c:pt idx="3">
                  <c:v>0.17</c:v>
                </c:pt>
                <c:pt idx="4">
                  <c:v>0.25</c:v>
                </c:pt>
                <c:pt idx="5">
                  <c:v>0.55000000000000004</c:v>
                </c:pt>
              </c:numCache>
            </c:numRef>
          </c:val>
        </c:ser>
        <c:ser>
          <c:idx val="2"/>
          <c:order val="2"/>
          <c:tx>
            <c:strRef>
              <c:f>Karşılaştırma!$BP$4</c:f>
              <c:strCache>
                <c:ptCount val="1"/>
                <c:pt idx="0">
                  <c:v>2014-2015</c:v>
                </c:pt>
              </c:strCache>
            </c:strRef>
          </c:tx>
          <c:spPr>
            <a:solidFill>
              <a:schemeClr val="accent3"/>
            </a:solidFill>
            <a:ln>
              <a:noFill/>
            </a:ln>
            <a:effectLst/>
          </c:spPr>
          <c:invertIfNegative val="0"/>
          <c:cat>
            <c:strRef>
              <c:f>Karşılaştırma!$BM$5:$BM$10</c:f>
              <c:strCache>
                <c:ptCount val="6"/>
                <c:pt idx="0">
                  <c:v>Emin Değil </c:v>
                </c:pt>
                <c:pt idx="1">
                  <c:v>Zayıf</c:v>
                </c:pt>
                <c:pt idx="2">
                  <c:v>Orta </c:v>
                </c:pt>
                <c:pt idx="3">
                  <c:v>İyi</c:v>
                </c:pt>
                <c:pt idx="4">
                  <c:v>Çok İyi</c:v>
                </c:pt>
                <c:pt idx="5">
                  <c:v>Mükemmel</c:v>
                </c:pt>
              </c:strCache>
            </c:strRef>
          </c:cat>
          <c:val>
            <c:numRef>
              <c:f>Karşılaştırma!$BP$5:$BP$10</c:f>
              <c:numCache>
                <c:formatCode>0.00</c:formatCode>
                <c:ptCount val="6"/>
                <c:pt idx="0">
                  <c:v>3.0303030303030304E-2</c:v>
                </c:pt>
                <c:pt idx="1">
                  <c:v>0</c:v>
                </c:pt>
                <c:pt idx="2">
                  <c:v>0</c:v>
                </c:pt>
                <c:pt idx="3">
                  <c:v>0.12121212121212122</c:v>
                </c:pt>
                <c:pt idx="4">
                  <c:v>0.42424242424242425</c:v>
                </c:pt>
                <c:pt idx="5">
                  <c:v>0.42424242424242425</c:v>
                </c:pt>
              </c:numCache>
            </c:numRef>
          </c:val>
        </c:ser>
        <c:ser>
          <c:idx val="3"/>
          <c:order val="3"/>
          <c:tx>
            <c:strRef>
              <c:f>Karşılaştırma!$BQ$4</c:f>
              <c:strCache>
                <c:ptCount val="1"/>
                <c:pt idx="0">
                  <c:v>2015-2016</c:v>
                </c:pt>
              </c:strCache>
            </c:strRef>
          </c:tx>
          <c:spPr>
            <a:solidFill>
              <a:schemeClr val="accent4"/>
            </a:solidFill>
            <a:ln>
              <a:noFill/>
            </a:ln>
            <a:effectLst/>
          </c:spPr>
          <c:invertIfNegative val="0"/>
          <c:cat>
            <c:strRef>
              <c:f>Karşılaştırma!$BM$5:$BM$10</c:f>
              <c:strCache>
                <c:ptCount val="6"/>
                <c:pt idx="0">
                  <c:v>Emin Değil </c:v>
                </c:pt>
                <c:pt idx="1">
                  <c:v>Zayıf</c:v>
                </c:pt>
                <c:pt idx="2">
                  <c:v>Orta </c:v>
                </c:pt>
                <c:pt idx="3">
                  <c:v>İyi</c:v>
                </c:pt>
                <c:pt idx="4">
                  <c:v>Çok İyi</c:v>
                </c:pt>
                <c:pt idx="5">
                  <c:v>Mükemmel</c:v>
                </c:pt>
              </c:strCache>
            </c:strRef>
          </c:cat>
          <c:val>
            <c:numRef>
              <c:f>Karşılaştırma!$BQ$5:$BQ$10</c:f>
              <c:numCache>
                <c:formatCode>0.00</c:formatCode>
                <c:ptCount val="6"/>
                <c:pt idx="0">
                  <c:v>0</c:v>
                </c:pt>
                <c:pt idx="1">
                  <c:v>1.1494252873563218E-2</c:v>
                </c:pt>
                <c:pt idx="2">
                  <c:v>0</c:v>
                </c:pt>
                <c:pt idx="3">
                  <c:v>0.17241379310344829</c:v>
                </c:pt>
                <c:pt idx="4">
                  <c:v>0.43678160919540232</c:v>
                </c:pt>
                <c:pt idx="5">
                  <c:v>0.37931034482758619</c:v>
                </c:pt>
              </c:numCache>
            </c:numRef>
          </c:val>
        </c:ser>
        <c:ser>
          <c:idx val="4"/>
          <c:order val="4"/>
          <c:tx>
            <c:strRef>
              <c:f>Karşılaştırma!$BR$4</c:f>
              <c:strCache>
                <c:ptCount val="1"/>
                <c:pt idx="0">
                  <c:v>2016-2017</c:v>
                </c:pt>
              </c:strCache>
            </c:strRef>
          </c:tx>
          <c:spPr>
            <a:solidFill>
              <a:schemeClr val="accent5"/>
            </a:solidFill>
            <a:ln>
              <a:noFill/>
            </a:ln>
            <a:effectLst/>
          </c:spPr>
          <c:invertIfNegative val="0"/>
          <c:cat>
            <c:strRef>
              <c:f>Karşılaştırma!$BM$5:$BM$10</c:f>
              <c:strCache>
                <c:ptCount val="6"/>
                <c:pt idx="0">
                  <c:v>Emin Değil </c:v>
                </c:pt>
                <c:pt idx="1">
                  <c:v>Zayıf</c:v>
                </c:pt>
                <c:pt idx="2">
                  <c:v>Orta </c:v>
                </c:pt>
                <c:pt idx="3">
                  <c:v>İyi</c:v>
                </c:pt>
                <c:pt idx="4">
                  <c:v>Çok İyi</c:v>
                </c:pt>
                <c:pt idx="5">
                  <c:v>Mükemmel</c:v>
                </c:pt>
              </c:strCache>
            </c:strRef>
          </c:cat>
          <c:val>
            <c:numRef>
              <c:f>Karşılaştırma!$BR$5:$BR$10</c:f>
              <c:numCache>
                <c:formatCode>0.00</c:formatCode>
                <c:ptCount val="6"/>
                <c:pt idx="0">
                  <c:v>0</c:v>
                </c:pt>
                <c:pt idx="1">
                  <c:v>0</c:v>
                </c:pt>
                <c:pt idx="2">
                  <c:v>0</c:v>
                </c:pt>
                <c:pt idx="3">
                  <c:v>0.20270270270270271</c:v>
                </c:pt>
                <c:pt idx="4">
                  <c:v>0.33783783783783783</c:v>
                </c:pt>
                <c:pt idx="5">
                  <c:v>0.45945945945945948</c:v>
                </c:pt>
              </c:numCache>
            </c:numRef>
          </c:val>
        </c:ser>
        <c:ser>
          <c:idx val="5"/>
          <c:order val="5"/>
          <c:tx>
            <c:strRef>
              <c:f>Karşılaştırma!$BS$4</c:f>
              <c:strCache>
                <c:ptCount val="1"/>
                <c:pt idx="0">
                  <c:v>2017-2018</c:v>
                </c:pt>
              </c:strCache>
            </c:strRef>
          </c:tx>
          <c:spPr>
            <a:solidFill>
              <a:schemeClr val="accent6"/>
            </a:solidFill>
            <a:ln>
              <a:noFill/>
            </a:ln>
            <a:effectLst/>
          </c:spPr>
          <c:invertIfNegative val="0"/>
          <c:cat>
            <c:strRef>
              <c:f>Karşılaştırma!$BM$5:$BM$10</c:f>
              <c:strCache>
                <c:ptCount val="6"/>
                <c:pt idx="0">
                  <c:v>Emin Değil </c:v>
                </c:pt>
                <c:pt idx="1">
                  <c:v>Zayıf</c:v>
                </c:pt>
                <c:pt idx="2">
                  <c:v>Orta </c:v>
                </c:pt>
                <c:pt idx="3">
                  <c:v>İyi</c:v>
                </c:pt>
                <c:pt idx="4">
                  <c:v>Çok İyi</c:v>
                </c:pt>
                <c:pt idx="5">
                  <c:v>Mükemmel</c:v>
                </c:pt>
              </c:strCache>
            </c:strRef>
          </c:cat>
          <c:val>
            <c:numRef>
              <c:f>Karşılaştırma!$BS$5:$BS$10</c:f>
              <c:numCache>
                <c:formatCode>0.00</c:formatCode>
                <c:ptCount val="6"/>
                <c:pt idx="0">
                  <c:v>2.2222222222222223E-2</c:v>
                </c:pt>
                <c:pt idx="1">
                  <c:v>0</c:v>
                </c:pt>
                <c:pt idx="2">
                  <c:v>2.2222222222222223E-2</c:v>
                </c:pt>
                <c:pt idx="3">
                  <c:v>0.25555555555555554</c:v>
                </c:pt>
                <c:pt idx="4">
                  <c:v>0.25555555555555554</c:v>
                </c:pt>
                <c:pt idx="5">
                  <c:v>0.44444444444444442</c:v>
                </c:pt>
              </c:numCache>
            </c:numRef>
          </c:val>
        </c:ser>
        <c:dLbls>
          <c:showLegendKey val="0"/>
          <c:showVal val="0"/>
          <c:showCatName val="0"/>
          <c:showSerName val="0"/>
          <c:showPercent val="0"/>
          <c:showBubbleSize val="0"/>
        </c:dLbls>
        <c:gapWidth val="219"/>
        <c:overlap val="-27"/>
        <c:axId val="302919288"/>
        <c:axId val="302918896"/>
      </c:barChart>
      <c:catAx>
        <c:axId val="302919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2918896"/>
        <c:crosses val="autoZero"/>
        <c:auto val="1"/>
        <c:lblAlgn val="ctr"/>
        <c:lblOffset val="100"/>
        <c:noMultiLvlLbl val="0"/>
      </c:catAx>
      <c:valAx>
        <c:axId val="302918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2919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Teknolojik gelişime açık ve konusunda uzmanlaşmış olması</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Karşılaştırma!$BU$4</c:f>
              <c:strCache>
                <c:ptCount val="1"/>
                <c:pt idx="0">
                  <c:v>2012-2013</c:v>
                </c:pt>
              </c:strCache>
            </c:strRef>
          </c:tx>
          <c:spPr>
            <a:solidFill>
              <a:schemeClr val="accent1"/>
            </a:solidFill>
            <a:ln>
              <a:noFill/>
            </a:ln>
            <a:effectLst/>
          </c:spPr>
          <c:invertIfNegative val="0"/>
          <c:cat>
            <c:strRef>
              <c:f>Karşılaştırma!$BT$5:$BT$10</c:f>
              <c:strCache>
                <c:ptCount val="6"/>
                <c:pt idx="0">
                  <c:v>Emin Değil </c:v>
                </c:pt>
                <c:pt idx="1">
                  <c:v>Zayıf</c:v>
                </c:pt>
                <c:pt idx="2">
                  <c:v>Orta </c:v>
                </c:pt>
                <c:pt idx="3">
                  <c:v>İyi</c:v>
                </c:pt>
                <c:pt idx="4">
                  <c:v>Çok İyi</c:v>
                </c:pt>
                <c:pt idx="5">
                  <c:v>Mükemmel</c:v>
                </c:pt>
              </c:strCache>
            </c:strRef>
          </c:cat>
          <c:val>
            <c:numRef>
              <c:f>Karşılaştırma!$BU$5:$BU$10</c:f>
              <c:numCache>
                <c:formatCode>General</c:formatCode>
                <c:ptCount val="6"/>
                <c:pt idx="0">
                  <c:v>0.05</c:v>
                </c:pt>
                <c:pt idx="1">
                  <c:v>0</c:v>
                </c:pt>
                <c:pt idx="2">
                  <c:v>0.13</c:v>
                </c:pt>
                <c:pt idx="3">
                  <c:v>0.2</c:v>
                </c:pt>
                <c:pt idx="4">
                  <c:v>0.34</c:v>
                </c:pt>
                <c:pt idx="5">
                  <c:v>0.28999999999999998</c:v>
                </c:pt>
              </c:numCache>
            </c:numRef>
          </c:val>
        </c:ser>
        <c:ser>
          <c:idx val="1"/>
          <c:order val="1"/>
          <c:tx>
            <c:strRef>
              <c:f>Karşılaştırma!$BV$4</c:f>
              <c:strCache>
                <c:ptCount val="1"/>
                <c:pt idx="0">
                  <c:v>2013-2014</c:v>
                </c:pt>
              </c:strCache>
            </c:strRef>
          </c:tx>
          <c:spPr>
            <a:solidFill>
              <a:schemeClr val="accent2"/>
            </a:solidFill>
            <a:ln>
              <a:noFill/>
            </a:ln>
            <a:effectLst/>
          </c:spPr>
          <c:invertIfNegative val="0"/>
          <c:cat>
            <c:strRef>
              <c:f>Karşılaştırma!$BT$5:$BT$10</c:f>
              <c:strCache>
                <c:ptCount val="6"/>
                <c:pt idx="0">
                  <c:v>Emin Değil </c:v>
                </c:pt>
                <c:pt idx="1">
                  <c:v>Zayıf</c:v>
                </c:pt>
                <c:pt idx="2">
                  <c:v>Orta </c:v>
                </c:pt>
                <c:pt idx="3">
                  <c:v>İyi</c:v>
                </c:pt>
                <c:pt idx="4">
                  <c:v>Çok İyi</c:v>
                </c:pt>
                <c:pt idx="5">
                  <c:v>Mükemmel</c:v>
                </c:pt>
              </c:strCache>
            </c:strRef>
          </c:cat>
          <c:val>
            <c:numRef>
              <c:f>Karşılaştırma!$BV$5:$BV$10</c:f>
              <c:numCache>
                <c:formatCode>General</c:formatCode>
                <c:ptCount val="6"/>
                <c:pt idx="0">
                  <c:v>0.05</c:v>
                </c:pt>
                <c:pt idx="1">
                  <c:v>0</c:v>
                </c:pt>
                <c:pt idx="2">
                  <c:v>0.02</c:v>
                </c:pt>
                <c:pt idx="3">
                  <c:v>0.22</c:v>
                </c:pt>
                <c:pt idx="4">
                  <c:v>0.37</c:v>
                </c:pt>
                <c:pt idx="5">
                  <c:v>0.34</c:v>
                </c:pt>
              </c:numCache>
            </c:numRef>
          </c:val>
        </c:ser>
        <c:ser>
          <c:idx val="2"/>
          <c:order val="2"/>
          <c:tx>
            <c:strRef>
              <c:f>Karşılaştırma!$BW$4</c:f>
              <c:strCache>
                <c:ptCount val="1"/>
                <c:pt idx="0">
                  <c:v>2014-2015</c:v>
                </c:pt>
              </c:strCache>
            </c:strRef>
          </c:tx>
          <c:spPr>
            <a:solidFill>
              <a:schemeClr val="accent3"/>
            </a:solidFill>
            <a:ln>
              <a:noFill/>
            </a:ln>
            <a:effectLst/>
          </c:spPr>
          <c:invertIfNegative val="0"/>
          <c:cat>
            <c:strRef>
              <c:f>Karşılaştırma!$BT$5:$BT$10</c:f>
              <c:strCache>
                <c:ptCount val="6"/>
                <c:pt idx="0">
                  <c:v>Emin Değil </c:v>
                </c:pt>
                <c:pt idx="1">
                  <c:v>Zayıf</c:v>
                </c:pt>
                <c:pt idx="2">
                  <c:v>Orta </c:v>
                </c:pt>
                <c:pt idx="3">
                  <c:v>İyi</c:v>
                </c:pt>
                <c:pt idx="4">
                  <c:v>Çok İyi</c:v>
                </c:pt>
                <c:pt idx="5">
                  <c:v>Mükemmel</c:v>
                </c:pt>
              </c:strCache>
            </c:strRef>
          </c:cat>
          <c:val>
            <c:numRef>
              <c:f>Karşılaştırma!$BW$5:$BW$10</c:f>
              <c:numCache>
                <c:formatCode>0.00</c:formatCode>
                <c:ptCount val="6"/>
                <c:pt idx="0">
                  <c:v>4.5454545454545456E-2</c:v>
                </c:pt>
                <c:pt idx="1">
                  <c:v>0</c:v>
                </c:pt>
                <c:pt idx="2">
                  <c:v>3.0303030303030304E-2</c:v>
                </c:pt>
                <c:pt idx="3">
                  <c:v>0.18181818181818182</c:v>
                </c:pt>
                <c:pt idx="4">
                  <c:v>0.34848484848484851</c:v>
                </c:pt>
                <c:pt idx="5">
                  <c:v>0.39393939393939392</c:v>
                </c:pt>
              </c:numCache>
            </c:numRef>
          </c:val>
        </c:ser>
        <c:ser>
          <c:idx val="3"/>
          <c:order val="3"/>
          <c:tx>
            <c:strRef>
              <c:f>Karşılaştırma!$BX$4</c:f>
              <c:strCache>
                <c:ptCount val="1"/>
                <c:pt idx="0">
                  <c:v>2015-2016</c:v>
                </c:pt>
              </c:strCache>
            </c:strRef>
          </c:tx>
          <c:spPr>
            <a:solidFill>
              <a:schemeClr val="accent4"/>
            </a:solidFill>
            <a:ln>
              <a:noFill/>
            </a:ln>
            <a:effectLst/>
          </c:spPr>
          <c:invertIfNegative val="0"/>
          <c:cat>
            <c:strRef>
              <c:f>Karşılaştırma!$BT$5:$BT$10</c:f>
              <c:strCache>
                <c:ptCount val="6"/>
                <c:pt idx="0">
                  <c:v>Emin Değil </c:v>
                </c:pt>
                <c:pt idx="1">
                  <c:v>Zayıf</c:v>
                </c:pt>
                <c:pt idx="2">
                  <c:v>Orta </c:v>
                </c:pt>
                <c:pt idx="3">
                  <c:v>İyi</c:v>
                </c:pt>
                <c:pt idx="4">
                  <c:v>Çok İyi</c:v>
                </c:pt>
                <c:pt idx="5">
                  <c:v>Mükemmel</c:v>
                </c:pt>
              </c:strCache>
            </c:strRef>
          </c:cat>
          <c:val>
            <c:numRef>
              <c:f>Karşılaştırma!$BX$5:$BX$10</c:f>
              <c:numCache>
                <c:formatCode>0.00</c:formatCode>
                <c:ptCount val="6"/>
                <c:pt idx="0">
                  <c:v>1.1494252873563218E-2</c:v>
                </c:pt>
                <c:pt idx="1">
                  <c:v>1.1494252873563218E-2</c:v>
                </c:pt>
                <c:pt idx="2">
                  <c:v>0</c:v>
                </c:pt>
                <c:pt idx="3">
                  <c:v>0.22988505747126436</c:v>
                </c:pt>
                <c:pt idx="4">
                  <c:v>0.34482758620689657</c:v>
                </c:pt>
                <c:pt idx="5">
                  <c:v>0.40229885057471265</c:v>
                </c:pt>
              </c:numCache>
            </c:numRef>
          </c:val>
        </c:ser>
        <c:ser>
          <c:idx val="4"/>
          <c:order val="4"/>
          <c:tx>
            <c:strRef>
              <c:f>Karşılaştırma!$BY$4</c:f>
              <c:strCache>
                <c:ptCount val="1"/>
                <c:pt idx="0">
                  <c:v>2016-2017</c:v>
                </c:pt>
              </c:strCache>
            </c:strRef>
          </c:tx>
          <c:spPr>
            <a:solidFill>
              <a:schemeClr val="accent5"/>
            </a:solidFill>
            <a:ln>
              <a:noFill/>
            </a:ln>
            <a:effectLst/>
          </c:spPr>
          <c:invertIfNegative val="0"/>
          <c:cat>
            <c:strRef>
              <c:f>Karşılaştırma!$BT$5:$BT$10</c:f>
              <c:strCache>
                <c:ptCount val="6"/>
                <c:pt idx="0">
                  <c:v>Emin Değil </c:v>
                </c:pt>
                <c:pt idx="1">
                  <c:v>Zayıf</c:v>
                </c:pt>
                <c:pt idx="2">
                  <c:v>Orta </c:v>
                </c:pt>
                <c:pt idx="3">
                  <c:v>İyi</c:v>
                </c:pt>
                <c:pt idx="4">
                  <c:v>Çok İyi</c:v>
                </c:pt>
                <c:pt idx="5">
                  <c:v>Mükemmel</c:v>
                </c:pt>
              </c:strCache>
            </c:strRef>
          </c:cat>
          <c:val>
            <c:numRef>
              <c:f>Karşılaştırma!$BY$5:$BY$10</c:f>
              <c:numCache>
                <c:formatCode>0.00</c:formatCode>
                <c:ptCount val="6"/>
                <c:pt idx="0">
                  <c:v>4.0540540540540543E-2</c:v>
                </c:pt>
                <c:pt idx="1">
                  <c:v>0</c:v>
                </c:pt>
                <c:pt idx="2">
                  <c:v>1.3513513513513514E-2</c:v>
                </c:pt>
                <c:pt idx="3">
                  <c:v>0.14864864864864866</c:v>
                </c:pt>
                <c:pt idx="4">
                  <c:v>0.33783783783783783</c:v>
                </c:pt>
                <c:pt idx="5">
                  <c:v>0.45945945945945948</c:v>
                </c:pt>
              </c:numCache>
            </c:numRef>
          </c:val>
        </c:ser>
        <c:ser>
          <c:idx val="5"/>
          <c:order val="5"/>
          <c:tx>
            <c:strRef>
              <c:f>Karşılaştırma!$BZ$4</c:f>
              <c:strCache>
                <c:ptCount val="1"/>
                <c:pt idx="0">
                  <c:v>2017-2018</c:v>
                </c:pt>
              </c:strCache>
            </c:strRef>
          </c:tx>
          <c:spPr>
            <a:solidFill>
              <a:schemeClr val="accent6"/>
            </a:solidFill>
            <a:ln>
              <a:noFill/>
            </a:ln>
            <a:effectLst/>
          </c:spPr>
          <c:invertIfNegative val="0"/>
          <c:cat>
            <c:strRef>
              <c:f>Karşılaştırma!$BT$5:$BT$10</c:f>
              <c:strCache>
                <c:ptCount val="6"/>
                <c:pt idx="0">
                  <c:v>Emin Değil </c:v>
                </c:pt>
                <c:pt idx="1">
                  <c:v>Zayıf</c:v>
                </c:pt>
                <c:pt idx="2">
                  <c:v>Orta </c:v>
                </c:pt>
                <c:pt idx="3">
                  <c:v>İyi</c:v>
                </c:pt>
                <c:pt idx="4">
                  <c:v>Çok İyi</c:v>
                </c:pt>
                <c:pt idx="5">
                  <c:v>Mükemmel</c:v>
                </c:pt>
              </c:strCache>
            </c:strRef>
          </c:cat>
          <c:val>
            <c:numRef>
              <c:f>Karşılaştırma!$BZ$5:$BZ$10</c:f>
              <c:numCache>
                <c:formatCode>0.00</c:formatCode>
                <c:ptCount val="6"/>
                <c:pt idx="0">
                  <c:v>1.1235955056179775E-2</c:v>
                </c:pt>
                <c:pt idx="1">
                  <c:v>0</c:v>
                </c:pt>
                <c:pt idx="2">
                  <c:v>5.6179775280898875E-2</c:v>
                </c:pt>
                <c:pt idx="3">
                  <c:v>0.15730337078651685</c:v>
                </c:pt>
                <c:pt idx="4">
                  <c:v>0.4044943820224719</c:v>
                </c:pt>
                <c:pt idx="5">
                  <c:v>0.3707865168539326</c:v>
                </c:pt>
              </c:numCache>
            </c:numRef>
          </c:val>
        </c:ser>
        <c:dLbls>
          <c:showLegendKey val="0"/>
          <c:showVal val="0"/>
          <c:showCatName val="0"/>
          <c:showSerName val="0"/>
          <c:showPercent val="0"/>
          <c:showBubbleSize val="0"/>
        </c:dLbls>
        <c:gapWidth val="219"/>
        <c:overlap val="-27"/>
        <c:axId val="302919680"/>
        <c:axId val="425661704"/>
      </c:barChart>
      <c:catAx>
        <c:axId val="30291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25661704"/>
        <c:crosses val="autoZero"/>
        <c:auto val="1"/>
        <c:lblAlgn val="ctr"/>
        <c:lblOffset val="100"/>
        <c:noMultiLvlLbl val="0"/>
      </c:catAx>
      <c:valAx>
        <c:axId val="425661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291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Yaşam boyu öğrenmeyi ve kişisel gelişimi önemsemesi</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Karşılaştırma!$CB$4</c:f>
              <c:strCache>
                <c:ptCount val="1"/>
                <c:pt idx="0">
                  <c:v>2012-2013</c:v>
                </c:pt>
              </c:strCache>
            </c:strRef>
          </c:tx>
          <c:spPr>
            <a:solidFill>
              <a:schemeClr val="accent1"/>
            </a:solidFill>
            <a:ln>
              <a:noFill/>
            </a:ln>
            <a:effectLst/>
          </c:spPr>
          <c:invertIfNegative val="0"/>
          <c:cat>
            <c:strRef>
              <c:f>Karşılaştırma!$CA$5:$CA$10</c:f>
              <c:strCache>
                <c:ptCount val="6"/>
                <c:pt idx="0">
                  <c:v>Emin Değil </c:v>
                </c:pt>
                <c:pt idx="1">
                  <c:v>Zayıf</c:v>
                </c:pt>
                <c:pt idx="2">
                  <c:v>Orta </c:v>
                </c:pt>
                <c:pt idx="3">
                  <c:v>İyi</c:v>
                </c:pt>
                <c:pt idx="4">
                  <c:v>Çok İyi</c:v>
                </c:pt>
                <c:pt idx="5">
                  <c:v>Mükemmel</c:v>
                </c:pt>
              </c:strCache>
            </c:strRef>
          </c:cat>
          <c:val>
            <c:numRef>
              <c:f>Karşılaştırma!$CB$5:$CB$10</c:f>
              <c:numCache>
                <c:formatCode>General</c:formatCode>
                <c:ptCount val="6"/>
                <c:pt idx="0">
                  <c:v>0</c:v>
                </c:pt>
                <c:pt idx="1">
                  <c:v>0</c:v>
                </c:pt>
                <c:pt idx="2">
                  <c:v>0</c:v>
                </c:pt>
                <c:pt idx="3">
                  <c:v>0.23</c:v>
                </c:pt>
                <c:pt idx="4">
                  <c:v>0.34</c:v>
                </c:pt>
                <c:pt idx="5">
                  <c:v>0.43</c:v>
                </c:pt>
              </c:numCache>
            </c:numRef>
          </c:val>
        </c:ser>
        <c:ser>
          <c:idx val="1"/>
          <c:order val="1"/>
          <c:tx>
            <c:strRef>
              <c:f>Karşılaştırma!$CC$4</c:f>
              <c:strCache>
                <c:ptCount val="1"/>
                <c:pt idx="0">
                  <c:v>2013-2014</c:v>
                </c:pt>
              </c:strCache>
            </c:strRef>
          </c:tx>
          <c:spPr>
            <a:solidFill>
              <a:schemeClr val="accent2"/>
            </a:solidFill>
            <a:ln>
              <a:noFill/>
            </a:ln>
            <a:effectLst/>
          </c:spPr>
          <c:invertIfNegative val="0"/>
          <c:cat>
            <c:strRef>
              <c:f>Karşılaştırma!$CA$5:$CA$10</c:f>
              <c:strCache>
                <c:ptCount val="6"/>
                <c:pt idx="0">
                  <c:v>Emin Değil </c:v>
                </c:pt>
                <c:pt idx="1">
                  <c:v>Zayıf</c:v>
                </c:pt>
                <c:pt idx="2">
                  <c:v>Orta </c:v>
                </c:pt>
                <c:pt idx="3">
                  <c:v>İyi</c:v>
                </c:pt>
                <c:pt idx="4">
                  <c:v>Çok İyi</c:v>
                </c:pt>
                <c:pt idx="5">
                  <c:v>Mükemmel</c:v>
                </c:pt>
              </c:strCache>
            </c:strRef>
          </c:cat>
          <c:val>
            <c:numRef>
              <c:f>Karşılaştırma!$CC$5:$CC$10</c:f>
              <c:numCache>
                <c:formatCode>General</c:formatCode>
                <c:ptCount val="6"/>
                <c:pt idx="0">
                  <c:v>0.05</c:v>
                </c:pt>
                <c:pt idx="1">
                  <c:v>0</c:v>
                </c:pt>
                <c:pt idx="2">
                  <c:v>0.02</c:v>
                </c:pt>
                <c:pt idx="3">
                  <c:v>0.1</c:v>
                </c:pt>
                <c:pt idx="4">
                  <c:v>0.32</c:v>
                </c:pt>
                <c:pt idx="5">
                  <c:v>0.51</c:v>
                </c:pt>
              </c:numCache>
            </c:numRef>
          </c:val>
        </c:ser>
        <c:ser>
          <c:idx val="2"/>
          <c:order val="2"/>
          <c:tx>
            <c:strRef>
              <c:f>Karşılaştırma!$CD$4</c:f>
              <c:strCache>
                <c:ptCount val="1"/>
                <c:pt idx="0">
                  <c:v>2014-2015</c:v>
                </c:pt>
              </c:strCache>
            </c:strRef>
          </c:tx>
          <c:spPr>
            <a:solidFill>
              <a:schemeClr val="accent3"/>
            </a:solidFill>
            <a:ln>
              <a:noFill/>
            </a:ln>
            <a:effectLst/>
          </c:spPr>
          <c:invertIfNegative val="0"/>
          <c:cat>
            <c:strRef>
              <c:f>Karşılaştırma!$CA$5:$CA$10</c:f>
              <c:strCache>
                <c:ptCount val="6"/>
                <c:pt idx="0">
                  <c:v>Emin Değil </c:v>
                </c:pt>
                <c:pt idx="1">
                  <c:v>Zayıf</c:v>
                </c:pt>
                <c:pt idx="2">
                  <c:v>Orta </c:v>
                </c:pt>
                <c:pt idx="3">
                  <c:v>İyi</c:v>
                </c:pt>
                <c:pt idx="4">
                  <c:v>Çok İyi</c:v>
                </c:pt>
                <c:pt idx="5">
                  <c:v>Mükemmel</c:v>
                </c:pt>
              </c:strCache>
            </c:strRef>
          </c:cat>
          <c:val>
            <c:numRef>
              <c:f>Karşılaştırma!$CD$5:$CD$10</c:f>
              <c:numCache>
                <c:formatCode>0.00</c:formatCode>
                <c:ptCount val="6"/>
                <c:pt idx="0">
                  <c:v>4.5454545454545456E-2</c:v>
                </c:pt>
                <c:pt idx="1">
                  <c:v>0</c:v>
                </c:pt>
                <c:pt idx="2">
                  <c:v>3.0303030303030304E-2</c:v>
                </c:pt>
                <c:pt idx="3">
                  <c:v>0.12121212121212122</c:v>
                </c:pt>
                <c:pt idx="4">
                  <c:v>0.2878787878787879</c:v>
                </c:pt>
                <c:pt idx="5">
                  <c:v>0.51515151515151514</c:v>
                </c:pt>
              </c:numCache>
            </c:numRef>
          </c:val>
        </c:ser>
        <c:ser>
          <c:idx val="3"/>
          <c:order val="3"/>
          <c:tx>
            <c:strRef>
              <c:f>Karşılaştırma!$CE$4</c:f>
              <c:strCache>
                <c:ptCount val="1"/>
                <c:pt idx="0">
                  <c:v>2015-2016</c:v>
                </c:pt>
              </c:strCache>
            </c:strRef>
          </c:tx>
          <c:spPr>
            <a:solidFill>
              <a:schemeClr val="accent4"/>
            </a:solidFill>
            <a:ln>
              <a:noFill/>
            </a:ln>
            <a:effectLst/>
          </c:spPr>
          <c:invertIfNegative val="0"/>
          <c:cat>
            <c:strRef>
              <c:f>Karşılaştırma!$CA$5:$CA$10</c:f>
              <c:strCache>
                <c:ptCount val="6"/>
                <c:pt idx="0">
                  <c:v>Emin Değil </c:v>
                </c:pt>
                <c:pt idx="1">
                  <c:v>Zayıf</c:v>
                </c:pt>
                <c:pt idx="2">
                  <c:v>Orta </c:v>
                </c:pt>
                <c:pt idx="3">
                  <c:v>İyi</c:v>
                </c:pt>
                <c:pt idx="4">
                  <c:v>Çok İyi</c:v>
                </c:pt>
                <c:pt idx="5">
                  <c:v>Mükemmel</c:v>
                </c:pt>
              </c:strCache>
            </c:strRef>
          </c:cat>
          <c:val>
            <c:numRef>
              <c:f>Karşılaştırma!$CE$5:$CE$10</c:f>
              <c:numCache>
                <c:formatCode>0.00</c:formatCode>
                <c:ptCount val="6"/>
                <c:pt idx="0">
                  <c:v>1.1494252873563218E-2</c:v>
                </c:pt>
                <c:pt idx="1">
                  <c:v>1.1494252873563218E-2</c:v>
                </c:pt>
                <c:pt idx="2">
                  <c:v>0</c:v>
                </c:pt>
                <c:pt idx="3">
                  <c:v>0.14942528735632185</c:v>
                </c:pt>
                <c:pt idx="4">
                  <c:v>0.33333333333333331</c:v>
                </c:pt>
                <c:pt idx="5">
                  <c:v>0.4942528735632184</c:v>
                </c:pt>
              </c:numCache>
            </c:numRef>
          </c:val>
        </c:ser>
        <c:ser>
          <c:idx val="4"/>
          <c:order val="4"/>
          <c:tx>
            <c:strRef>
              <c:f>Karşılaştırma!$CF$4</c:f>
              <c:strCache>
                <c:ptCount val="1"/>
                <c:pt idx="0">
                  <c:v>2016-2017</c:v>
                </c:pt>
              </c:strCache>
            </c:strRef>
          </c:tx>
          <c:spPr>
            <a:solidFill>
              <a:schemeClr val="accent5"/>
            </a:solidFill>
            <a:ln>
              <a:noFill/>
            </a:ln>
            <a:effectLst/>
          </c:spPr>
          <c:invertIfNegative val="0"/>
          <c:cat>
            <c:strRef>
              <c:f>Karşılaştırma!$CA$5:$CA$10</c:f>
              <c:strCache>
                <c:ptCount val="6"/>
                <c:pt idx="0">
                  <c:v>Emin Değil </c:v>
                </c:pt>
                <c:pt idx="1">
                  <c:v>Zayıf</c:v>
                </c:pt>
                <c:pt idx="2">
                  <c:v>Orta </c:v>
                </c:pt>
                <c:pt idx="3">
                  <c:v>İyi</c:v>
                </c:pt>
                <c:pt idx="4">
                  <c:v>Çok İyi</c:v>
                </c:pt>
                <c:pt idx="5">
                  <c:v>Mükemmel</c:v>
                </c:pt>
              </c:strCache>
            </c:strRef>
          </c:cat>
          <c:val>
            <c:numRef>
              <c:f>Karşılaştırma!$CF$5:$CF$10</c:f>
              <c:numCache>
                <c:formatCode>0.00</c:formatCode>
                <c:ptCount val="6"/>
                <c:pt idx="0">
                  <c:v>2.7027027027027029E-2</c:v>
                </c:pt>
                <c:pt idx="1">
                  <c:v>0</c:v>
                </c:pt>
                <c:pt idx="2">
                  <c:v>1.3513513513513514E-2</c:v>
                </c:pt>
                <c:pt idx="3">
                  <c:v>0.16216216216216217</c:v>
                </c:pt>
                <c:pt idx="4">
                  <c:v>0.27027027027027029</c:v>
                </c:pt>
                <c:pt idx="5">
                  <c:v>0.52702702702702697</c:v>
                </c:pt>
              </c:numCache>
            </c:numRef>
          </c:val>
        </c:ser>
        <c:ser>
          <c:idx val="5"/>
          <c:order val="5"/>
          <c:tx>
            <c:strRef>
              <c:f>Karşılaştırma!$CG$4</c:f>
              <c:strCache>
                <c:ptCount val="1"/>
                <c:pt idx="0">
                  <c:v>2017-2018</c:v>
                </c:pt>
              </c:strCache>
            </c:strRef>
          </c:tx>
          <c:spPr>
            <a:solidFill>
              <a:schemeClr val="accent6"/>
            </a:solidFill>
            <a:ln>
              <a:noFill/>
            </a:ln>
            <a:effectLst/>
          </c:spPr>
          <c:invertIfNegative val="0"/>
          <c:cat>
            <c:strRef>
              <c:f>Karşılaştırma!$CA$5:$CA$10</c:f>
              <c:strCache>
                <c:ptCount val="6"/>
                <c:pt idx="0">
                  <c:v>Emin Değil </c:v>
                </c:pt>
                <c:pt idx="1">
                  <c:v>Zayıf</c:v>
                </c:pt>
                <c:pt idx="2">
                  <c:v>Orta </c:v>
                </c:pt>
                <c:pt idx="3">
                  <c:v>İyi</c:v>
                </c:pt>
                <c:pt idx="4">
                  <c:v>Çok İyi</c:v>
                </c:pt>
                <c:pt idx="5">
                  <c:v>Mükemmel</c:v>
                </c:pt>
              </c:strCache>
            </c:strRef>
          </c:cat>
          <c:val>
            <c:numRef>
              <c:f>Karşılaştırma!$CG$5:$CG$10</c:f>
              <c:numCache>
                <c:formatCode>0.00</c:formatCode>
                <c:ptCount val="6"/>
                <c:pt idx="0">
                  <c:v>0</c:v>
                </c:pt>
                <c:pt idx="1">
                  <c:v>0</c:v>
                </c:pt>
                <c:pt idx="2">
                  <c:v>1.1111111111111112E-2</c:v>
                </c:pt>
                <c:pt idx="3">
                  <c:v>0.22222222222222221</c:v>
                </c:pt>
                <c:pt idx="4">
                  <c:v>0.28888888888888886</c:v>
                </c:pt>
                <c:pt idx="5">
                  <c:v>0.4777777777777778</c:v>
                </c:pt>
              </c:numCache>
            </c:numRef>
          </c:val>
        </c:ser>
        <c:dLbls>
          <c:showLegendKey val="0"/>
          <c:showVal val="0"/>
          <c:showCatName val="0"/>
          <c:showSerName val="0"/>
          <c:showPercent val="0"/>
          <c:showBubbleSize val="0"/>
        </c:dLbls>
        <c:gapWidth val="219"/>
        <c:overlap val="-27"/>
        <c:axId val="425664056"/>
        <c:axId val="302669904"/>
      </c:barChart>
      <c:catAx>
        <c:axId val="425664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2669904"/>
        <c:crosses val="autoZero"/>
        <c:auto val="1"/>
        <c:lblAlgn val="ctr"/>
        <c:lblOffset val="100"/>
        <c:noMultiLvlLbl val="0"/>
      </c:catAx>
      <c:valAx>
        <c:axId val="302669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25664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Organizasyon kapasitesinin yüksek olması</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Karşılaştırma!$CI$4</c:f>
              <c:strCache>
                <c:ptCount val="1"/>
                <c:pt idx="0">
                  <c:v>2012-2013</c:v>
                </c:pt>
              </c:strCache>
            </c:strRef>
          </c:tx>
          <c:spPr>
            <a:solidFill>
              <a:schemeClr val="accent1"/>
            </a:solidFill>
            <a:ln>
              <a:noFill/>
            </a:ln>
            <a:effectLst/>
          </c:spPr>
          <c:invertIfNegative val="0"/>
          <c:cat>
            <c:strRef>
              <c:f>Karşılaştırma!$CH$5:$CH$10</c:f>
              <c:strCache>
                <c:ptCount val="6"/>
                <c:pt idx="0">
                  <c:v>Emin Değil </c:v>
                </c:pt>
                <c:pt idx="1">
                  <c:v>Zayıf</c:v>
                </c:pt>
                <c:pt idx="2">
                  <c:v>Orta </c:v>
                </c:pt>
                <c:pt idx="3">
                  <c:v>İyi</c:v>
                </c:pt>
                <c:pt idx="4">
                  <c:v>Çok İyi</c:v>
                </c:pt>
                <c:pt idx="5">
                  <c:v>Mükemmel</c:v>
                </c:pt>
              </c:strCache>
            </c:strRef>
          </c:cat>
          <c:val>
            <c:numRef>
              <c:f>Karşılaştırma!$CI$5:$CI$10</c:f>
              <c:numCache>
                <c:formatCode>General</c:formatCode>
                <c:ptCount val="6"/>
                <c:pt idx="0">
                  <c:v>0.02</c:v>
                </c:pt>
                <c:pt idx="1">
                  <c:v>0</c:v>
                </c:pt>
                <c:pt idx="2">
                  <c:v>0.02</c:v>
                </c:pt>
                <c:pt idx="3">
                  <c:v>0.21</c:v>
                </c:pt>
                <c:pt idx="4">
                  <c:v>0.32</c:v>
                </c:pt>
                <c:pt idx="5">
                  <c:v>0.43</c:v>
                </c:pt>
              </c:numCache>
            </c:numRef>
          </c:val>
        </c:ser>
        <c:ser>
          <c:idx val="1"/>
          <c:order val="1"/>
          <c:tx>
            <c:strRef>
              <c:f>Karşılaştırma!$CJ$4</c:f>
              <c:strCache>
                <c:ptCount val="1"/>
                <c:pt idx="0">
                  <c:v>2013-2014</c:v>
                </c:pt>
              </c:strCache>
            </c:strRef>
          </c:tx>
          <c:spPr>
            <a:solidFill>
              <a:schemeClr val="accent2"/>
            </a:solidFill>
            <a:ln>
              <a:noFill/>
            </a:ln>
            <a:effectLst/>
          </c:spPr>
          <c:invertIfNegative val="0"/>
          <c:cat>
            <c:strRef>
              <c:f>Karşılaştırma!$CH$5:$CH$10</c:f>
              <c:strCache>
                <c:ptCount val="6"/>
                <c:pt idx="0">
                  <c:v>Emin Değil </c:v>
                </c:pt>
                <c:pt idx="1">
                  <c:v>Zayıf</c:v>
                </c:pt>
                <c:pt idx="2">
                  <c:v>Orta </c:v>
                </c:pt>
                <c:pt idx="3">
                  <c:v>İyi</c:v>
                </c:pt>
                <c:pt idx="4">
                  <c:v>Çok İyi</c:v>
                </c:pt>
                <c:pt idx="5">
                  <c:v>Mükemmel</c:v>
                </c:pt>
              </c:strCache>
            </c:strRef>
          </c:cat>
          <c:val>
            <c:numRef>
              <c:f>Karşılaştırma!$CJ$5:$CJ$10</c:f>
              <c:numCache>
                <c:formatCode>General</c:formatCode>
                <c:ptCount val="6"/>
                <c:pt idx="0">
                  <c:v>7.0000000000000007E-2</c:v>
                </c:pt>
                <c:pt idx="1">
                  <c:v>0</c:v>
                </c:pt>
                <c:pt idx="2">
                  <c:v>0.02</c:v>
                </c:pt>
                <c:pt idx="3">
                  <c:v>0.14000000000000001</c:v>
                </c:pt>
                <c:pt idx="4">
                  <c:v>0.24</c:v>
                </c:pt>
                <c:pt idx="5">
                  <c:v>0.54</c:v>
                </c:pt>
              </c:numCache>
            </c:numRef>
          </c:val>
        </c:ser>
        <c:ser>
          <c:idx val="2"/>
          <c:order val="2"/>
          <c:tx>
            <c:strRef>
              <c:f>Karşılaştırma!$CK$4</c:f>
              <c:strCache>
                <c:ptCount val="1"/>
                <c:pt idx="0">
                  <c:v>2014-2015</c:v>
                </c:pt>
              </c:strCache>
            </c:strRef>
          </c:tx>
          <c:spPr>
            <a:solidFill>
              <a:schemeClr val="accent3"/>
            </a:solidFill>
            <a:ln>
              <a:noFill/>
            </a:ln>
            <a:effectLst/>
          </c:spPr>
          <c:invertIfNegative val="0"/>
          <c:cat>
            <c:strRef>
              <c:f>Karşılaştırma!$CH$5:$CH$10</c:f>
              <c:strCache>
                <c:ptCount val="6"/>
                <c:pt idx="0">
                  <c:v>Emin Değil </c:v>
                </c:pt>
                <c:pt idx="1">
                  <c:v>Zayıf</c:v>
                </c:pt>
                <c:pt idx="2">
                  <c:v>Orta </c:v>
                </c:pt>
                <c:pt idx="3">
                  <c:v>İyi</c:v>
                </c:pt>
                <c:pt idx="4">
                  <c:v>Çok İyi</c:v>
                </c:pt>
                <c:pt idx="5">
                  <c:v>Mükemmel</c:v>
                </c:pt>
              </c:strCache>
            </c:strRef>
          </c:cat>
          <c:val>
            <c:numRef>
              <c:f>Karşılaştırma!$CK$5:$CK$10</c:f>
              <c:numCache>
                <c:formatCode>0.00</c:formatCode>
                <c:ptCount val="6"/>
                <c:pt idx="0">
                  <c:v>4.5454545454545456E-2</c:v>
                </c:pt>
                <c:pt idx="1">
                  <c:v>0</c:v>
                </c:pt>
                <c:pt idx="2">
                  <c:v>0</c:v>
                </c:pt>
                <c:pt idx="3">
                  <c:v>0.13636363636363635</c:v>
                </c:pt>
                <c:pt idx="4">
                  <c:v>0.34848484848484851</c:v>
                </c:pt>
                <c:pt idx="5">
                  <c:v>0.46969696969696972</c:v>
                </c:pt>
              </c:numCache>
            </c:numRef>
          </c:val>
        </c:ser>
        <c:ser>
          <c:idx val="3"/>
          <c:order val="3"/>
          <c:tx>
            <c:strRef>
              <c:f>Karşılaştırma!$CL$4</c:f>
              <c:strCache>
                <c:ptCount val="1"/>
                <c:pt idx="0">
                  <c:v>2015-2016</c:v>
                </c:pt>
              </c:strCache>
            </c:strRef>
          </c:tx>
          <c:spPr>
            <a:solidFill>
              <a:schemeClr val="accent4"/>
            </a:solidFill>
            <a:ln>
              <a:noFill/>
            </a:ln>
            <a:effectLst/>
          </c:spPr>
          <c:invertIfNegative val="0"/>
          <c:cat>
            <c:strRef>
              <c:f>Karşılaştırma!$CH$5:$CH$10</c:f>
              <c:strCache>
                <c:ptCount val="6"/>
                <c:pt idx="0">
                  <c:v>Emin Değil </c:v>
                </c:pt>
                <c:pt idx="1">
                  <c:v>Zayıf</c:v>
                </c:pt>
                <c:pt idx="2">
                  <c:v>Orta </c:v>
                </c:pt>
                <c:pt idx="3">
                  <c:v>İyi</c:v>
                </c:pt>
                <c:pt idx="4">
                  <c:v>Çok İyi</c:v>
                </c:pt>
                <c:pt idx="5">
                  <c:v>Mükemmel</c:v>
                </c:pt>
              </c:strCache>
            </c:strRef>
          </c:cat>
          <c:val>
            <c:numRef>
              <c:f>Karşılaştırma!$CL$5:$CL$10</c:f>
              <c:numCache>
                <c:formatCode>0.00</c:formatCode>
                <c:ptCount val="6"/>
                <c:pt idx="0">
                  <c:v>1.1627906976744186E-2</c:v>
                </c:pt>
                <c:pt idx="1">
                  <c:v>1.1627906976744186E-2</c:v>
                </c:pt>
                <c:pt idx="2">
                  <c:v>1.1627906976744186E-2</c:v>
                </c:pt>
                <c:pt idx="3">
                  <c:v>0.1744186046511628</c:v>
                </c:pt>
                <c:pt idx="4">
                  <c:v>0.2558139534883721</c:v>
                </c:pt>
                <c:pt idx="5">
                  <c:v>0.53488372093023251</c:v>
                </c:pt>
              </c:numCache>
            </c:numRef>
          </c:val>
        </c:ser>
        <c:ser>
          <c:idx val="4"/>
          <c:order val="4"/>
          <c:tx>
            <c:strRef>
              <c:f>Karşılaştırma!$CM$4</c:f>
              <c:strCache>
                <c:ptCount val="1"/>
                <c:pt idx="0">
                  <c:v>2016-2017</c:v>
                </c:pt>
              </c:strCache>
            </c:strRef>
          </c:tx>
          <c:spPr>
            <a:solidFill>
              <a:schemeClr val="accent5"/>
            </a:solidFill>
            <a:ln>
              <a:noFill/>
            </a:ln>
            <a:effectLst/>
          </c:spPr>
          <c:invertIfNegative val="0"/>
          <c:cat>
            <c:strRef>
              <c:f>Karşılaştırma!$CH$5:$CH$10</c:f>
              <c:strCache>
                <c:ptCount val="6"/>
                <c:pt idx="0">
                  <c:v>Emin Değil </c:v>
                </c:pt>
                <c:pt idx="1">
                  <c:v>Zayıf</c:v>
                </c:pt>
                <c:pt idx="2">
                  <c:v>Orta </c:v>
                </c:pt>
                <c:pt idx="3">
                  <c:v>İyi</c:v>
                </c:pt>
                <c:pt idx="4">
                  <c:v>Çok İyi</c:v>
                </c:pt>
                <c:pt idx="5">
                  <c:v>Mükemmel</c:v>
                </c:pt>
              </c:strCache>
            </c:strRef>
          </c:cat>
          <c:val>
            <c:numRef>
              <c:f>Karşılaştırma!$CM$5:$CM$10</c:f>
              <c:numCache>
                <c:formatCode>0.00</c:formatCode>
                <c:ptCount val="6"/>
                <c:pt idx="0">
                  <c:v>1.3513513513513514E-2</c:v>
                </c:pt>
                <c:pt idx="1">
                  <c:v>0</c:v>
                </c:pt>
                <c:pt idx="2">
                  <c:v>1.3513513513513514E-2</c:v>
                </c:pt>
                <c:pt idx="3">
                  <c:v>0.1891891891891892</c:v>
                </c:pt>
                <c:pt idx="4">
                  <c:v>0.3783783783783784</c:v>
                </c:pt>
                <c:pt idx="5">
                  <c:v>0.40540540540540543</c:v>
                </c:pt>
              </c:numCache>
            </c:numRef>
          </c:val>
        </c:ser>
        <c:ser>
          <c:idx val="5"/>
          <c:order val="5"/>
          <c:tx>
            <c:strRef>
              <c:f>Karşılaştırma!$CN$4</c:f>
              <c:strCache>
                <c:ptCount val="1"/>
                <c:pt idx="0">
                  <c:v>2017-2018</c:v>
                </c:pt>
              </c:strCache>
            </c:strRef>
          </c:tx>
          <c:spPr>
            <a:solidFill>
              <a:schemeClr val="accent6"/>
            </a:solidFill>
            <a:ln>
              <a:noFill/>
            </a:ln>
            <a:effectLst/>
          </c:spPr>
          <c:invertIfNegative val="0"/>
          <c:cat>
            <c:strRef>
              <c:f>Karşılaştırma!$CH$5:$CH$10</c:f>
              <c:strCache>
                <c:ptCount val="6"/>
                <c:pt idx="0">
                  <c:v>Emin Değil </c:v>
                </c:pt>
                <c:pt idx="1">
                  <c:v>Zayıf</c:v>
                </c:pt>
                <c:pt idx="2">
                  <c:v>Orta </c:v>
                </c:pt>
                <c:pt idx="3">
                  <c:v>İyi</c:v>
                </c:pt>
                <c:pt idx="4">
                  <c:v>Çok İyi</c:v>
                </c:pt>
                <c:pt idx="5">
                  <c:v>Mükemmel</c:v>
                </c:pt>
              </c:strCache>
            </c:strRef>
          </c:cat>
          <c:val>
            <c:numRef>
              <c:f>Karşılaştırma!$CN$5:$CN$10</c:f>
              <c:numCache>
                <c:formatCode>0.00</c:formatCode>
                <c:ptCount val="6"/>
                <c:pt idx="0">
                  <c:v>3.3333333333333333E-2</c:v>
                </c:pt>
                <c:pt idx="1">
                  <c:v>0</c:v>
                </c:pt>
                <c:pt idx="2">
                  <c:v>2.2222222222222223E-2</c:v>
                </c:pt>
                <c:pt idx="3">
                  <c:v>0.23333333333333334</c:v>
                </c:pt>
                <c:pt idx="4">
                  <c:v>0.3</c:v>
                </c:pt>
                <c:pt idx="5">
                  <c:v>0.41111111111111109</c:v>
                </c:pt>
              </c:numCache>
            </c:numRef>
          </c:val>
        </c:ser>
        <c:dLbls>
          <c:showLegendKey val="0"/>
          <c:showVal val="0"/>
          <c:showCatName val="0"/>
          <c:showSerName val="0"/>
          <c:showPercent val="0"/>
          <c:showBubbleSize val="0"/>
        </c:dLbls>
        <c:gapWidth val="219"/>
        <c:overlap val="-27"/>
        <c:axId val="416908960"/>
        <c:axId val="416907392"/>
      </c:barChart>
      <c:catAx>
        <c:axId val="41690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6907392"/>
        <c:crosses val="autoZero"/>
        <c:auto val="1"/>
        <c:lblAlgn val="ctr"/>
        <c:lblOffset val="100"/>
        <c:noMultiLvlLbl val="0"/>
      </c:catAx>
      <c:valAx>
        <c:axId val="41690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690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Mesleki uygulamalarının çevresel etkileri (sağlık, hukuk, çevre, güvenlik, toplum vb.) hakkındaki farkındalık </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Karşılaştırma!$CP$4</c:f>
              <c:strCache>
                <c:ptCount val="1"/>
                <c:pt idx="0">
                  <c:v>2012-2013</c:v>
                </c:pt>
              </c:strCache>
            </c:strRef>
          </c:tx>
          <c:spPr>
            <a:solidFill>
              <a:schemeClr val="accent1"/>
            </a:solidFill>
            <a:ln>
              <a:noFill/>
            </a:ln>
            <a:effectLst/>
          </c:spPr>
          <c:invertIfNegative val="0"/>
          <c:cat>
            <c:strRef>
              <c:f>Karşılaştırma!$CO$5:$CO$10</c:f>
              <c:strCache>
                <c:ptCount val="6"/>
                <c:pt idx="0">
                  <c:v>Emin Değil </c:v>
                </c:pt>
                <c:pt idx="1">
                  <c:v>Zayıf</c:v>
                </c:pt>
                <c:pt idx="2">
                  <c:v>Orta </c:v>
                </c:pt>
                <c:pt idx="3">
                  <c:v>İyi</c:v>
                </c:pt>
                <c:pt idx="4">
                  <c:v>Çok İyi</c:v>
                </c:pt>
                <c:pt idx="5">
                  <c:v>Mükemmel</c:v>
                </c:pt>
              </c:strCache>
            </c:strRef>
          </c:cat>
          <c:val>
            <c:numRef>
              <c:f>Karşılaştırma!$CP$5:$CP$10</c:f>
              <c:numCache>
                <c:formatCode>General</c:formatCode>
                <c:ptCount val="6"/>
                <c:pt idx="0">
                  <c:v>0.05</c:v>
                </c:pt>
                <c:pt idx="1">
                  <c:v>0.02</c:v>
                </c:pt>
                <c:pt idx="2">
                  <c:v>7.0000000000000007E-2</c:v>
                </c:pt>
                <c:pt idx="3">
                  <c:v>0.24</c:v>
                </c:pt>
                <c:pt idx="4">
                  <c:v>0.35</c:v>
                </c:pt>
                <c:pt idx="5">
                  <c:v>0.27</c:v>
                </c:pt>
              </c:numCache>
            </c:numRef>
          </c:val>
        </c:ser>
        <c:ser>
          <c:idx val="1"/>
          <c:order val="1"/>
          <c:tx>
            <c:strRef>
              <c:f>Karşılaştırma!$CQ$4</c:f>
              <c:strCache>
                <c:ptCount val="1"/>
                <c:pt idx="0">
                  <c:v>2013-2014</c:v>
                </c:pt>
              </c:strCache>
            </c:strRef>
          </c:tx>
          <c:spPr>
            <a:solidFill>
              <a:schemeClr val="accent2"/>
            </a:solidFill>
            <a:ln>
              <a:noFill/>
            </a:ln>
            <a:effectLst/>
          </c:spPr>
          <c:invertIfNegative val="0"/>
          <c:cat>
            <c:strRef>
              <c:f>Karşılaştırma!$CO$5:$CO$10</c:f>
              <c:strCache>
                <c:ptCount val="6"/>
                <c:pt idx="0">
                  <c:v>Emin Değil </c:v>
                </c:pt>
                <c:pt idx="1">
                  <c:v>Zayıf</c:v>
                </c:pt>
                <c:pt idx="2">
                  <c:v>Orta </c:v>
                </c:pt>
                <c:pt idx="3">
                  <c:v>İyi</c:v>
                </c:pt>
                <c:pt idx="4">
                  <c:v>Çok İyi</c:v>
                </c:pt>
                <c:pt idx="5">
                  <c:v>Mükemmel</c:v>
                </c:pt>
              </c:strCache>
            </c:strRef>
          </c:cat>
          <c:val>
            <c:numRef>
              <c:f>Karşılaştırma!$CQ$5:$CQ$10</c:f>
              <c:numCache>
                <c:formatCode>General</c:formatCode>
                <c:ptCount val="6"/>
                <c:pt idx="0">
                  <c:v>7.0000000000000007E-2</c:v>
                </c:pt>
                <c:pt idx="1">
                  <c:v>0</c:v>
                </c:pt>
                <c:pt idx="2">
                  <c:v>0.02</c:v>
                </c:pt>
                <c:pt idx="3">
                  <c:v>0.22</c:v>
                </c:pt>
                <c:pt idx="4">
                  <c:v>0.27</c:v>
                </c:pt>
                <c:pt idx="5">
                  <c:v>0.42</c:v>
                </c:pt>
              </c:numCache>
            </c:numRef>
          </c:val>
        </c:ser>
        <c:ser>
          <c:idx val="2"/>
          <c:order val="2"/>
          <c:tx>
            <c:strRef>
              <c:f>Karşılaştırma!$CR$4</c:f>
              <c:strCache>
                <c:ptCount val="1"/>
                <c:pt idx="0">
                  <c:v>2014-2015</c:v>
                </c:pt>
              </c:strCache>
            </c:strRef>
          </c:tx>
          <c:spPr>
            <a:solidFill>
              <a:schemeClr val="accent3"/>
            </a:solidFill>
            <a:ln>
              <a:noFill/>
            </a:ln>
            <a:effectLst/>
          </c:spPr>
          <c:invertIfNegative val="0"/>
          <c:cat>
            <c:strRef>
              <c:f>Karşılaştırma!$CO$5:$CO$10</c:f>
              <c:strCache>
                <c:ptCount val="6"/>
                <c:pt idx="0">
                  <c:v>Emin Değil </c:v>
                </c:pt>
                <c:pt idx="1">
                  <c:v>Zayıf</c:v>
                </c:pt>
                <c:pt idx="2">
                  <c:v>Orta </c:v>
                </c:pt>
                <c:pt idx="3">
                  <c:v>İyi</c:v>
                </c:pt>
                <c:pt idx="4">
                  <c:v>Çok İyi</c:v>
                </c:pt>
                <c:pt idx="5">
                  <c:v>Mükemmel</c:v>
                </c:pt>
              </c:strCache>
            </c:strRef>
          </c:cat>
          <c:val>
            <c:numRef>
              <c:f>Karşılaştırma!$CR$5:$CR$10</c:f>
              <c:numCache>
                <c:formatCode>0.00</c:formatCode>
                <c:ptCount val="6"/>
                <c:pt idx="0">
                  <c:v>4.5454545454545456E-2</c:v>
                </c:pt>
                <c:pt idx="1">
                  <c:v>0</c:v>
                </c:pt>
                <c:pt idx="2">
                  <c:v>1.5151515151515152E-2</c:v>
                </c:pt>
                <c:pt idx="3">
                  <c:v>0.21212121212121213</c:v>
                </c:pt>
                <c:pt idx="4">
                  <c:v>0.31818181818181818</c:v>
                </c:pt>
                <c:pt idx="5">
                  <c:v>0.40909090909090912</c:v>
                </c:pt>
              </c:numCache>
            </c:numRef>
          </c:val>
        </c:ser>
        <c:ser>
          <c:idx val="3"/>
          <c:order val="3"/>
          <c:tx>
            <c:strRef>
              <c:f>Karşılaştırma!$CS$4</c:f>
              <c:strCache>
                <c:ptCount val="1"/>
                <c:pt idx="0">
                  <c:v>2015-2016</c:v>
                </c:pt>
              </c:strCache>
            </c:strRef>
          </c:tx>
          <c:spPr>
            <a:solidFill>
              <a:schemeClr val="accent4"/>
            </a:solidFill>
            <a:ln>
              <a:noFill/>
            </a:ln>
            <a:effectLst/>
          </c:spPr>
          <c:invertIfNegative val="0"/>
          <c:cat>
            <c:strRef>
              <c:f>Karşılaştırma!$CO$5:$CO$10</c:f>
              <c:strCache>
                <c:ptCount val="6"/>
                <c:pt idx="0">
                  <c:v>Emin Değil </c:v>
                </c:pt>
                <c:pt idx="1">
                  <c:v>Zayıf</c:v>
                </c:pt>
                <c:pt idx="2">
                  <c:v>Orta </c:v>
                </c:pt>
                <c:pt idx="3">
                  <c:v>İyi</c:v>
                </c:pt>
                <c:pt idx="4">
                  <c:v>Çok İyi</c:v>
                </c:pt>
                <c:pt idx="5">
                  <c:v>Mükemmel</c:v>
                </c:pt>
              </c:strCache>
            </c:strRef>
          </c:cat>
          <c:val>
            <c:numRef>
              <c:f>Karşılaştırma!$CS$5:$CS$10</c:f>
              <c:numCache>
                <c:formatCode>0.00</c:formatCode>
                <c:ptCount val="6"/>
                <c:pt idx="0">
                  <c:v>5.8139534883720929E-2</c:v>
                </c:pt>
                <c:pt idx="1">
                  <c:v>0</c:v>
                </c:pt>
                <c:pt idx="2">
                  <c:v>3.4883720930232558E-2</c:v>
                </c:pt>
                <c:pt idx="3">
                  <c:v>0.20930232558139536</c:v>
                </c:pt>
                <c:pt idx="4">
                  <c:v>0.29069767441860467</c:v>
                </c:pt>
                <c:pt idx="5">
                  <c:v>0.40697674418604651</c:v>
                </c:pt>
              </c:numCache>
            </c:numRef>
          </c:val>
        </c:ser>
        <c:ser>
          <c:idx val="4"/>
          <c:order val="4"/>
          <c:tx>
            <c:strRef>
              <c:f>Karşılaştırma!$CT$4</c:f>
              <c:strCache>
                <c:ptCount val="1"/>
                <c:pt idx="0">
                  <c:v>2016-2017</c:v>
                </c:pt>
              </c:strCache>
            </c:strRef>
          </c:tx>
          <c:spPr>
            <a:solidFill>
              <a:schemeClr val="accent5"/>
            </a:solidFill>
            <a:ln>
              <a:noFill/>
            </a:ln>
            <a:effectLst/>
          </c:spPr>
          <c:invertIfNegative val="0"/>
          <c:cat>
            <c:strRef>
              <c:f>Karşılaştırma!$CO$5:$CO$10</c:f>
              <c:strCache>
                <c:ptCount val="6"/>
                <c:pt idx="0">
                  <c:v>Emin Değil </c:v>
                </c:pt>
                <c:pt idx="1">
                  <c:v>Zayıf</c:v>
                </c:pt>
                <c:pt idx="2">
                  <c:v>Orta </c:v>
                </c:pt>
                <c:pt idx="3">
                  <c:v>İyi</c:v>
                </c:pt>
                <c:pt idx="4">
                  <c:v>Çok İyi</c:v>
                </c:pt>
                <c:pt idx="5">
                  <c:v>Mükemmel</c:v>
                </c:pt>
              </c:strCache>
            </c:strRef>
          </c:cat>
          <c:val>
            <c:numRef>
              <c:f>Karşılaştırma!$CT$5:$CT$10</c:f>
              <c:numCache>
                <c:formatCode>0.00</c:formatCode>
                <c:ptCount val="6"/>
                <c:pt idx="0">
                  <c:v>2.7027027027027029E-2</c:v>
                </c:pt>
                <c:pt idx="1">
                  <c:v>0</c:v>
                </c:pt>
                <c:pt idx="2">
                  <c:v>2.7027027027027029E-2</c:v>
                </c:pt>
                <c:pt idx="3">
                  <c:v>0.1891891891891892</c:v>
                </c:pt>
                <c:pt idx="4">
                  <c:v>0.3783783783783784</c:v>
                </c:pt>
                <c:pt idx="5">
                  <c:v>0.3783783783783784</c:v>
                </c:pt>
              </c:numCache>
            </c:numRef>
          </c:val>
        </c:ser>
        <c:ser>
          <c:idx val="5"/>
          <c:order val="5"/>
          <c:tx>
            <c:strRef>
              <c:f>Karşılaştırma!$CU$4</c:f>
              <c:strCache>
                <c:ptCount val="1"/>
                <c:pt idx="0">
                  <c:v>2017-2018</c:v>
                </c:pt>
              </c:strCache>
            </c:strRef>
          </c:tx>
          <c:spPr>
            <a:solidFill>
              <a:schemeClr val="accent6"/>
            </a:solidFill>
            <a:ln>
              <a:noFill/>
            </a:ln>
            <a:effectLst/>
          </c:spPr>
          <c:invertIfNegative val="0"/>
          <c:cat>
            <c:strRef>
              <c:f>Karşılaştırma!$CO$5:$CO$10</c:f>
              <c:strCache>
                <c:ptCount val="6"/>
                <c:pt idx="0">
                  <c:v>Emin Değil </c:v>
                </c:pt>
                <c:pt idx="1">
                  <c:v>Zayıf</c:v>
                </c:pt>
                <c:pt idx="2">
                  <c:v>Orta </c:v>
                </c:pt>
                <c:pt idx="3">
                  <c:v>İyi</c:v>
                </c:pt>
                <c:pt idx="4">
                  <c:v>Çok İyi</c:v>
                </c:pt>
                <c:pt idx="5">
                  <c:v>Mükemmel</c:v>
                </c:pt>
              </c:strCache>
            </c:strRef>
          </c:cat>
          <c:val>
            <c:numRef>
              <c:f>Karşılaştırma!$CU$5:$CU$10</c:f>
              <c:numCache>
                <c:formatCode>0.00</c:formatCode>
                <c:ptCount val="6"/>
                <c:pt idx="0">
                  <c:v>4.49438202247191E-2</c:v>
                </c:pt>
                <c:pt idx="1">
                  <c:v>0</c:v>
                </c:pt>
                <c:pt idx="2">
                  <c:v>7.8651685393258425E-2</c:v>
                </c:pt>
                <c:pt idx="3">
                  <c:v>0.1797752808988764</c:v>
                </c:pt>
                <c:pt idx="4">
                  <c:v>0.33707865168539325</c:v>
                </c:pt>
                <c:pt idx="5">
                  <c:v>0.3595505617977528</c:v>
                </c:pt>
              </c:numCache>
            </c:numRef>
          </c:val>
        </c:ser>
        <c:dLbls>
          <c:showLegendKey val="0"/>
          <c:showVal val="0"/>
          <c:showCatName val="0"/>
          <c:showSerName val="0"/>
          <c:showPercent val="0"/>
          <c:showBubbleSize val="0"/>
        </c:dLbls>
        <c:gapWidth val="219"/>
        <c:overlap val="-27"/>
        <c:axId val="515945024"/>
        <c:axId val="515945416"/>
      </c:barChart>
      <c:catAx>
        <c:axId val="51594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5945416"/>
        <c:crosses val="autoZero"/>
        <c:auto val="1"/>
        <c:lblAlgn val="ctr"/>
        <c:lblOffset val="100"/>
        <c:noMultiLvlLbl val="0"/>
      </c:catAx>
      <c:valAx>
        <c:axId val="515945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594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Deney tasarlama, yapma ve sonuçları yorumlama becerisi</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Karşılaştırma!$CW$4</c:f>
              <c:strCache>
                <c:ptCount val="1"/>
                <c:pt idx="0">
                  <c:v>2012-2013</c:v>
                </c:pt>
              </c:strCache>
            </c:strRef>
          </c:tx>
          <c:spPr>
            <a:solidFill>
              <a:schemeClr val="accent1"/>
            </a:solidFill>
            <a:ln>
              <a:noFill/>
            </a:ln>
            <a:effectLst/>
          </c:spPr>
          <c:invertIfNegative val="0"/>
          <c:cat>
            <c:strRef>
              <c:f>Karşılaştırma!$CV$5:$CV$10</c:f>
              <c:strCache>
                <c:ptCount val="6"/>
                <c:pt idx="0">
                  <c:v>Emin Değil </c:v>
                </c:pt>
                <c:pt idx="1">
                  <c:v>Zayıf</c:v>
                </c:pt>
                <c:pt idx="2">
                  <c:v>Orta </c:v>
                </c:pt>
                <c:pt idx="3">
                  <c:v>İyi</c:v>
                </c:pt>
                <c:pt idx="4">
                  <c:v>Çok İyi</c:v>
                </c:pt>
                <c:pt idx="5">
                  <c:v>Mükemmel</c:v>
                </c:pt>
              </c:strCache>
            </c:strRef>
          </c:cat>
          <c:val>
            <c:numRef>
              <c:f>Karşılaştırma!$CW$5:$CW$10</c:f>
              <c:numCache>
                <c:formatCode>General</c:formatCode>
                <c:ptCount val="6"/>
                <c:pt idx="0">
                  <c:v>0.04</c:v>
                </c:pt>
                <c:pt idx="1">
                  <c:v>0.02</c:v>
                </c:pt>
                <c:pt idx="2">
                  <c:v>0.02</c:v>
                </c:pt>
                <c:pt idx="3">
                  <c:v>0.25</c:v>
                </c:pt>
                <c:pt idx="4">
                  <c:v>0.39</c:v>
                </c:pt>
                <c:pt idx="5">
                  <c:v>0.28999999999999998</c:v>
                </c:pt>
              </c:numCache>
            </c:numRef>
          </c:val>
        </c:ser>
        <c:ser>
          <c:idx val="1"/>
          <c:order val="1"/>
          <c:tx>
            <c:strRef>
              <c:f>Karşılaştırma!$CX$4</c:f>
              <c:strCache>
                <c:ptCount val="1"/>
                <c:pt idx="0">
                  <c:v>2013-2014</c:v>
                </c:pt>
              </c:strCache>
            </c:strRef>
          </c:tx>
          <c:spPr>
            <a:solidFill>
              <a:schemeClr val="accent2"/>
            </a:solidFill>
            <a:ln>
              <a:noFill/>
            </a:ln>
            <a:effectLst/>
          </c:spPr>
          <c:invertIfNegative val="0"/>
          <c:cat>
            <c:strRef>
              <c:f>Karşılaştırma!$CV$5:$CV$10</c:f>
              <c:strCache>
                <c:ptCount val="6"/>
                <c:pt idx="0">
                  <c:v>Emin Değil </c:v>
                </c:pt>
                <c:pt idx="1">
                  <c:v>Zayıf</c:v>
                </c:pt>
                <c:pt idx="2">
                  <c:v>Orta </c:v>
                </c:pt>
                <c:pt idx="3">
                  <c:v>İyi</c:v>
                </c:pt>
                <c:pt idx="4">
                  <c:v>Çok İyi</c:v>
                </c:pt>
                <c:pt idx="5">
                  <c:v>Mükemmel</c:v>
                </c:pt>
              </c:strCache>
            </c:strRef>
          </c:cat>
          <c:val>
            <c:numRef>
              <c:f>Karşılaştırma!$CX$5:$CX$10</c:f>
              <c:numCache>
                <c:formatCode>General</c:formatCode>
                <c:ptCount val="6"/>
                <c:pt idx="0">
                  <c:v>7.0000000000000007E-2</c:v>
                </c:pt>
                <c:pt idx="1">
                  <c:v>0</c:v>
                </c:pt>
                <c:pt idx="2">
                  <c:v>0.03</c:v>
                </c:pt>
                <c:pt idx="3">
                  <c:v>0.19</c:v>
                </c:pt>
                <c:pt idx="4">
                  <c:v>0.31</c:v>
                </c:pt>
                <c:pt idx="5">
                  <c:v>0.4</c:v>
                </c:pt>
              </c:numCache>
            </c:numRef>
          </c:val>
        </c:ser>
        <c:ser>
          <c:idx val="2"/>
          <c:order val="2"/>
          <c:tx>
            <c:strRef>
              <c:f>Karşılaştırma!$CY$4</c:f>
              <c:strCache>
                <c:ptCount val="1"/>
                <c:pt idx="0">
                  <c:v>2014-2015</c:v>
                </c:pt>
              </c:strCache>
            </c:strRef>
          </c:tx>
          <c:spPr>
            <a:solidFill>
              <a:schemeClr val="accent3"/>
            </a:solidFill>
            <a:ln>
              <a:noFill/>
            </a:ln>
            <a:effectLst/>
          </c:spPr>
          <c:invertIfNegative val="0"/>
          <c:cat>
            <c:strRef>
              <c:f>Karşılaştırma!$CV$5:$CV$10</c:f>
              <c:strCache>
                <c:ptCount val="6"/>
                <c:pt idx="0">
                  <c:v>Emin Değil </c:v>
                </c:pt>
                <c:pt idx="1">
                  <c:v>Zayıf</c:v>
                </c:pt>
                <c:pt idx="2">
                  <c:v>Orta </c:v>
                </c:pt>
                <c:pt idx="3">
                  <c:v>İyi</c:v>
                </c:pt>
                <c:pt idx="4">
                  <c:v>Çok İyi</c:v>
                </c:pt>
                <c:pt idx="5">
                  <c:v>Mükemmel</c:v>
                </c:pt>
              </c:strCache>
            </c:strRef>
          </c:cat>
          <c:val>
            <c:numRef>
              <c:f>Karşılaştırma!$CY$5:$CY$10</c:f>
              <c:numCache>
                <c:formatCode>0.00</c:formatCode>
                <c:ptCount val="6"/>
                <c:pt idx="0">
                  <c:v>6.0606060606060608E-2</c:v>
                </c:pt>
                <c:pt idx="1">
                  <c:v>0</c:v>
                </c:pt>
                <c:pt idx="2">
                  <c:v>0</c:v>
                </c:pt>
                <c:pt idx="3">
                  <c:v>0.24242424242424243</c:v>
                </c:pt>
                <c:pt idx="4">
                  <c:v>0.30303030303030304</c:v>
                </c:pt>
                <c:pt idx="5">
                  <c:v>0.39393939393939392</c:v>
                </c:pt>
              </c:numCache>
            </c:numRef>
          </c:val>
        </c:ser>
        <c:ser>
          <c:idx val="3"/>
          <c:order val="3"/>
          <c:tx>
            <c:strRef>
              <c:f>Karşılaştırma!$CZ$4</c:f>
              <c:strCache>
                <c:ptCount val="1"/>
                <c:pt idx="0">
                  <c:v>2015-2016</c:v>
                </c:pt>
              </c:strCache>
            </c:strRef>
          </c:tx>
          <c:spPr>
            <a:solidFill>
              <a:schemeClr val="accent4"/>
            </a:solidFill>
            <a:ln>
              <a:noFill/>
            </a:ln>
            <a:effectLst/>
          </c:spPr>
          <c:invertIfNegative val="0"/>
          <c:cat>
            <c:strRef>
              <c:f>Karşılaştırma!$CV$5:$CV$10</c:f>
              <c:strCache>
                <c:ptCount val="6"/>
                <c:pt idx="0">
                  <c:v>Emin Değil </c:v>
                </c:pt>
                <c:pt idx="1">
                  <c:v>Zayıf</c:v>
                </c:pt>
                <c:pt idx="2">
                  <c:v>Orta </c:v>
                </c:pt>
                <c:pt idx="3">
                  <c:v>İyi</c:v>
                </c:pt>
                <c:pt idx="4">
                  <c:v>Çok İyi</c:v>
                </c:pt>
                <c:pt idx="5">
                  <c:v>Mükemmel</c:v>
                </c:pt>
              </c:strCache>
            </c:strRef>
          </c:cat>
          <c:val>
            <c:numRef>
              <c:f>Karşılaştırma!$CZ$5:$CZ$10</c:f>
              <c:numCache>
                <c:formatCode>General</c:formatCode>
                <c:ptCount val="6"/>
                <c:pt idx="0">
                  <c:v>4.5977011494252873E-2</c:v>
                </c:pt>
                <c:pt idx="1">
                  <c:v>0</c:v>
                </c:pt>
                <c:pt idx="2">
                  <c:v>2.2988505747126436E-2</c:v>
                </c:pt>
                <c:pt idx="3">
                  <c:v>0.19540229885057472</c:v>
                </c:pt>
                <c:pt idx="4">
                  <c:v>0.32183908045977011</c:v>
                </c:pt>
                <c:pt idx="5">
                  <c:v>0.41379310344827586</c:v>
                </c:pt>
              </c:numCache>
            </c:numRef>
          </c:val>
        </c:ser>
        <c:ser>
          <c:idx val="4"/>
          <c:order val="4"/>
          <c:tx>
            <c:strRef>
              <c:f>Karşılaştırma!$DA$4</c:f>
              <c:strCache>
                <c:ptCount val="1"/>
                <c:pt idx="0">
                  <c:v>2016-2017</c:v>
                </c:pt>
              </c:strCache>
            </c:strRef>
          </c:tx>
          <c:spPr>
            <a:solidFill>
              <a:schemeClr val="accent5"/>
            </a:solidFill>
            <a:ln>
              <a:noFill/>
            </a:ln>
            <a:effectLst/>
          </c:spPr>
          <c:invertIfNegative val="0"/>
          <c:cat>
            <c:strRef>
              <c:f>Karşılaştırma!$CV$5:$CV$10</c:f>
              <c:strCache>
                <c:ptCount val="6"/>
                <c:pt idx="0">
                  <c:v>Emin Değil </c:v>
                </c:pt>
                <c:pt idx="1">
                  <c:v>Zayıf</c:v>
                </c:pt>
                <c:pt idx="2">
                  <c:v>Orta </c:v>
                </c:pt>
                <c:pt idx="3">
                  <c:v>İyi</c:v>
                </c:pt>
                <c:pt idx="4">
                  <c:v>Çok İyi</c:v>
                </c:pt>
                <c:pt idx="5">
                  <c:v>Mükemmel</c:v>
                </c:pt>
              </c:strCache>
            </c:strRef>
          </c:cat>
          <c:val>
            <c:numRef>
              <c:f>Karşılaştırma!$DA$5:$DA$10</c:f>
              <c:numCache>
                <c:formatCode>0.00</c:formatCode>
                <c:ptCount val="6"/>
                <c:pt idx="0">
                  <c:v>1.3513513513513514E-2</c:v>
                </c:pt>
                <c:pt idx="1">
                  <c:v>0</c:v>
                </c:pt>
                <c:pt idx="2">
                  <c:v>4.0540540540540543E-2</c:v>
                </c:pt>
                <c:pt idx="3">
                  <c:v>0.25675675675675674</c:v>
                </c:pt>
                <c:pt idx="4">
                  <c:v>0.29729729729729731</c:v>
                </c:pt>
                <c:pt idx="5">
                  <c:v>0.39189189189189189</c:v>
                </c:pt>
              </c:numCache>
            </c:numRef>
          </c:val>
        </c:ser>
        <c:ser>
          <c:idx val="5"/>
          <c:order val="5"/>
          <c:tx>
            <c:strRef>
              <c:f>Karşılaştırma!$DB$4</c:f>
              <c:strCache>
                <c:ptCount val="1"/>
                <c:pt idx="0">
                  <c:v>2017-2018</c:v>
                </c:pt>
              </c:strCache>
            </c:strRef>
          </c:tx>
          <c:spPr>
            <a:solidFill>
              <a:schemeClr val="accent6"/>
            </a:solidFill>
            <a:ln>
              <a:noFill/>
            </a:ln>
            <a:effectLst/>
          </c:spPr>
          <c:invertIfNegative val="0"/>
          <c:cat>
            <c:strRef>
              <c:f>Karşılaştırma!$CV$5:$CV$10</c:f>
              <c:strCache>
                <c:ptCount val="6"/>
                <c:pt idx="0">
                  <c:v>Emin Değil </c:v>
                </c:pt>
                <c:pt idx="1">
                  <c:v>Zayıf</c:v>
                </c:pt>
                <c:pt idx="2">
                  <c:v>Orta </c:v>
                </c:pt>
                <c:pt idx="3">
                  <c:v>İyi</c:v>
                </c:pt>
                <c:pt idx="4">
                  <c:v>Çok İyi</c:v>
                </c:pt>
                <c:pt idx="5">
                  <c:v>Mükemmel</c:v>
                </c:pt>
              </c:strCache>
            </c:strRef>
          </c:cat>
          <c:val>
            <c:numRef>
              <c:f>Karşılaştırma!$DB$5:$DB$10</c:f>
              <c:numCache>
                <c:formatCode>0.00</c:formatCode>
                <c:ptCount val="6"/>
                <c:pt idx="0">
                  <c:v>4.4444444444444446E-2</c:v>
                </c:pt>
                <c:pt idx="1">
                  <c:v>1.1111111111111112E-2</c:v>
                </c:pt>
                <c:pt idx="2">
                  <c:v>4.4444444444444446E-2</c:v>
                </c:pt>
                <c:pt idx="3">
                  <c:v>0.18888888888888888</c:v>
                </c:pt>
                <c:pt idx="4">
                  <c:v>0.36666666666666664</c:v>
                </c:pt>
                <c:pt idx="5">
                  <c:v>0.34444444444444444</c:v>
                </c:pt>
              </c:numCache>
            </c:numRef>
          </c:val>
        </c:ser>
        <c:dLbls>
          <c:showLegendKey val="0"/>
          <c:showVal val="0"/>
          <c:showCatName val="0"/>
          <c:showSerName val="0"/>
          <c:showPercent val="0"/>
          <c:showBubbleSize val="0"/>
        </c:dLbls>
        <c:gapWidth val="219"/>
        <c:overlap val="-27"/>
        <c:axId val="515944632"/>
        <c:axId val="516144856"/>
      </c:barChart>
      <c:catAx>
        <c:axId val="515944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6144856"/>
        <c:crosses val="autoZero"/>
        <c:auto val="1"/>
        <c:lblAlgn val="ctr"/>
        <c:lblOffset val="100"/>
        <c:noMultiLvlLbl val="0"/>
      </c:catAx>
      <c:valAx>
        <c:axId val="516144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5944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Değerlendiricinin Kurumdaki Konumu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Demografik!$D$86:$D$89</c:f>
              <c:strCache>
                <c:ptCount val="4"/>
                <c:pt idx="0">
                  <c:v>Mühendis</c:v>
                </c:pt>
                <c:pt idx="1">
                  <c:v>Sorumlu/Uzman</c:v>
                </c:pt>
                <c:pt idx="2">
                  <c:v>Şef/Lider</c:v>
                </c:pt>
                <c:pt idx="3">
                  <c:v>Yönetici/Müdür</c:v>
                </c:pt>
              </c:strCache>
            </c:strRef>
          </c:cat>
          <c:val>
            <c:numRef>
              <c:f>Demografik!$E$86:$E$89</c:f>
              <c:numCache>
                <c:formatCode>General</c:formatCode>
                <c:ptCount val="4"/>
                <c:pt idx="0">
                  <c:v>34</c:v>
                </c:pt>
                <c:pt idx="1">
                  <c:v>7</c:v>
                </c:pt>
                <c:pt idx="2">
                  <c:v>7</c:v>
                </c:pt>
                <c:pt idx="3">
                  <c:v>22</c:v>
                </c:pt>
              </c:numCache>
            </c:numRef>
          </c:val>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Araştırmacı olması</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Karşılaştırma!$C$4</c:f>
              <c:strCache>
                <c:ptCount val="1"/>
                <c:pt idx="0">
                  <c:v>2012-2013</c:v>
                </c:pt>
              </c:strCache>
            </c:strRef>
          </c:tx>
          <c:spPr>
            <a:solidFill>
              <a:schemeClr val="accent1"/>
            </a:solidFill>
            <a:ln>
              <a:noFill/>
            </a:ln>
            <a:effectLst/>
          </c:spPr>
          <c:invertIfNegative val="0"/>
          <c:cat>
            <c:strRef>
              <c:f>Karşılaştırma!$B$5:$B$10</c:f>
              <c:strCache>
                <c:ptCount val="6"/>
                <c:pt idx="0">
                  <c:v>Emin Değil </c:v>
                </c:pt>
                <c:pt idx="1">
                  <c:v>Zayıf</c:v>
                </c:pt>
                <c:pt idx="2">
                  <c:v>Orta </c:v>
                </c:pt>
                <c:pt idx="3">
                  <c:v>İyi</c:v>
                </c:pt>
                <c:pt idx="4">
                  <c:v>Çok İyi</c:v>
                </c:pt>
                <c:pt idx="5">
                  <c:v>Mükemmel</c:v>
                </c:pt>
              </c:strCache>
            </c:strRef>
          </c:cat>
          <c:val>
            <c:numRef>
              <c:f>Karşılaştırma!$C$5:$C$10</c:f>
              <c:numCache>
                <c:formatCode>0.00</c:formatCode>
                <c:ptCount val="6"/>
                <c:pt idx="0">
                  <c:v>0</c:v>
                </c:pt>
                <c:pt idx="1">
                  <c:v>0</c:v>
                </c:pt>
                <c:pt idx="2">
                  <c:v>0</c:v>
                </c:pt>
                <c:pt idx="3">
                  <c:v>0.23</c:v>
                </c:pt>
                <c:pt idx="4">
                  <c:v>0.36</c:v>
                </c:pt>
                <c:pt idx="5">
                  <c:v>0.41</c:v>
                </c:pt>
              </c:numCache>
            </c:numRef>
          </c:val>
        </c:ser>
        <c:ser>
          <c:idx val="1"/>
          <c:order val="1"/>
          <c:tx>
            <c:strRef>
              <c:f>Karşılaştırma!$D$4</c:f>
              <c:strCache>
                <c:ptCount val="1"/>
                <c:pt idx="0">
                  <c:v>2013-2014</c:v>
                </c:pt>
              </c:strCache>
            </c:strRef>
          </c:tx>
          <c:spPr>
            <a:solidFill>
              <a:schemeClr val="accent2"/>
            </a:solidFill>
            <a:ln>
              <a:noFill/>
            </a:ln>
            <a:effectLst/>
          </c:spPr>
          <c:invertIfNegative val="0"/>
          <c:cat>
            <c:strRef>
              <c:f>Karşılaştırma!$B$5:$B$10</c:f>
              <c:strCache>
                <c:ptCount val="6"/>
                <c:pt idx="0">
                  <c:v>Emin Değil </c:v>
                </c:pt>
                <c:pt idx="1">
                  <c:v>Zayıf</c:v>
                </c:pt>
                <c:pt idx="2">
                  <c:v>Orta </c:v>
                </c:pt>
                <c:pt idx="3">
                  <c:v>İyi</c:v>
                </c:pt>
                <c:pt idx="4">
                  <c:v>Çok İyi</c:v>
                </c:pt>
                <c:pt idx="5">
                  <c:v>Mükemmel</c:v>
                </c:pt>
              </c:strCache>
            </c:strRef>
          </c:cat>
          <c:val>
            <c:numRef>
              <c:f>Karşılaştırma!$D$5:$D$10</c:f>
              <c:numCache>
                <c:formatCode>0.00</c:formatCode>
                <c:ptCount val="6"/>
                <c:pt idx="0">
                  <c:v>0</c:v>
                </c:pt>
                <c:pt idx="1">
                  <c:v>0</c:v>
                </c:pt>
                <c:pt idx="2">
                  <c:v>0.02</c:v>
                </c:pt>
                <c:pt idx="3">
                  <c:v>0.23</c:v>
                </c:pt>
                <c:pt idx="4">
                  <c:v>0.52</c:v>
                </c:pt>
                <c:pt idx="5">
                  <c:v>0.23</c:v>
                </c:pt>
              </c:numCache>
            </c:numRef>
          </c:val>
        </c:ser>
        <c:ser>
          <c:idx val="2"/>
          <c:order val="2"/>
          <c:tx>
            <c:strRef>
              <c:f>Karşılaştırma!$E$4</c:f>
              <c:strCache>
                <c:ptCount val="1"/>
                <c:pt idx="0">
                  <c:v>2014-2015</c:v>
                </c:pt>
              </c:strCache>
            </c:strRef>
          </c:tx>
          <c:spPr>
            <a:solidFill>
              <a:schemeClr val="accent3"/>
            </a:solidFill>
            <a:ln>
              <a:noFill/>
            </a:ln>
            <a:effectLst/>
          </c:spPr>
          <c:invertIfNegative val="0"/>
          <c:cat>
            <c:strRef>
              <c:f>Karşılaştırma!$B$5:$B$10</c:f>
              <c:strCache>
                <c:ptCount val="6"/>
                <c:pt idx="0">
                  <c:v>Emin Değil </c:v>
                </c:pt>
                <c:pt idx="1">
                  <c:v>Zayıf</c:v>
                </c:pt>
                <c:pt idx="2">
                  <c:v>Orta </c:v>
                </c:pt>
                <c:pt idx="3">
                  <c:v>İyi</c:v>
                </c:pt>
                <c:pt idx="4">
                  <c:v>Çok İyi</c:v>
                </c:pt>
                <c:pt idx="5">
                  <c:v>Mükemmel</c:v>
                </c:pt>
              </c:strCache>
            </c:strRef>
          </c:cat>
          <c:val>
            <c:numRef>
              <c:f>Karşılaştırma!$E$5:$E$10</c:f>
              <c:numCache>
                <c:formatCode>0.00</c:formatCode>
                <c:ptCount val="6"/>
                <c:pt idx="0">
                  <c:v>0</c:v>
                </c:pt>
                <c:pt idx="1">
                  <c:v>0</c:v>
                </c:pt>
                <c:pt idx="2">
                  <c:v>3.0303030303030304E-2</c:v>
                </c:pt>
                <c:pt idx="3">
                  <c:v>0.15151515151515152</c:v>
                </c:pt>
                <c:pt idx="4">
                  <c:v>0.45454545454545453</c:v>
                </c:pt>
                <c:pt idx="5">
                  <c:v>0.36363636363636365</c:v>
                </c:pt>
              </c:numCache>
            </c:numRef>
          </c:val>
        </c:ser>
        <c:ser>
          <c:idx val="3"/>
          <c:order val="3"/>
          <c:tx>
            <c:strRef>
              <c:f>Karşılaştırma!$F$4</c:f>
              <c:strCache>
                <c:ptCount val="1"/>
                <c:pt idx="0">
                  <c:v>2015-2016</c:v>
                </c:pt>
              </c:strCache>
            </c:strRef>
          </c:tx>
          <c:spPr>
            <a:solidFill>
              <a:schemeClr val="accent4"/>
            </a:solidFill>
            <a:ln>
              <a:noFill/>
            </a:ln>
            <a:effectLst/>
          </c:spPr>
          <c:invertIfNegative val="0"/>
          <c:cat>
            <c:strRef>
              <c:f>Karşılaştırma!$B$5:$B$10</c:f>
              <c:strCache>
                <c:ptCount val="6"/>
                <c:pt idx="0">
                  <c:v>Emin Değil </c:v>
                </c:pt>
                <c:pt idx="1">
                  <c:v>Zayıf</c:v>
                </c:pt>
                <c:pt idx="2">
                  <c:v>Orta </c:v>
                </c:pt>
                <c:pt idx="3">
                  <c:v>İyi</c:v>
                </c:pt>
                <c:pt idx="4">
                  <c:v>Çok İyi</c:v>
                </c:pt>
                <c:pt idx="5">
                  <c:v>Mükemmel</c:v>
                </c:pt>
              </c:strCache>
            </c:strRef>
          </c:cat>
          <c:val>
            <c:numRef>
              <c:f>Karşılaştırma!$F$5:$F$10</c:f>
              <c:numCache>
                <c:formatCode>0.00</c:formatCode>
                <c:ptCount val="6"/>
                <c:pt idx="0">
                  <c:v>0</c:v>
                </c:pt>
                <c:pt idx="1">
                  <c:v>1.1494252873563218E-2</c:v>
                </c:pt>
                <c:pt idx="2">
                  <c:v>1.1494252873563218E-2</c:v>
                </c:pt>
                <c:pt idx="3">
                  <c:v>0.26436781609195403</c:v>
                </c:pt>
                <c:pt idx="4">
                  <c:v>0.31034482758620691</c:v>
                </c:pt>
                <c:pt idx="5">
                  <c:v>0.40229885057471265</c:v>
                </c:pt>
              </c:numCache>
            </c:numRef>
          </c:val>
        </c:ser>
        <c:ser>
          <c:idx val="4"/>
          <c:order val="4"/>
          <c:tx>
            <c:strRef>
              <c:f>Karşılaştırma!$G$4</c:f>
              <c:strCache>
                <c:ptCount val="1"/>
                <c:pt idx="0">
                  <c:v>2016-2017</c:v>
                </c:pt>
              </c:strCache>
            </c:strRef>
          </c:tx>
          <c:spPr>
            <a:solidFill>
              <a:schemeClr val="accent5"/>
            </a:solidFill>
            <a:ln>
              <a:noFill/>
            </a:ln>
            <a:effectLst/>
          </c:spPr>
          <c:invertIfNegative val="0"/>
          <c:cat>
            <c:strRef>
              <c:f>Karşılaştırma!$B$5:$B$10</c:f>
              <c:strCache>
                <c:ptCount val="6"/>
                <c:pt idx="0">
                  <c:v>Emin Değil </c:v>
                </c:pt>
                <c:pt idx="1">
                  <c:v>Zayıf</c:v>
                </c:pt>
                <c:pt idx="2">
                  <c:v>Orta </c:v>
                </c:pt>
                <c:pt idx="3">
                  <c:v>İyi</c:v>
                </c:pt>
                <c:pt idx="4">
                  <c:v>Çok İyi</c:v>
                </c:pt>
                <c:pt idx="5">
                  <c:v>Mükemmel</c:v>
                </c:pt>
              </c:strCache>
            </c:strRef>
          </c:cat>
          <c:val>
            <c:numRef>
              <c:f>Karşılaştırma!$G$5:$G$10</c:f>
              <c:numCache>
                <c:formatCode>0.00</c:formatCode>
                <c:ptCount val="6"/>
                <c:pt idx="0">
                  <c:v>0</c:v>
                </c:pt>
                <c:pt idx="1">
                  <c:v>0</c:v>
                </c:pt>
                <c:pt idx="2">
                  <c:v>2.7027027027027029E-2</c:v>
                </c:pt>
                <c:pt idx="3">
                  <c:v>0.16216216216216217</c:v>
                </c:pt>
                <c:pt idx="4">
                  <c:v>0.44594594594594594</c:v>
                </c:pt>
                <c:pt idx="5">
                  <c:v>0.36486486486486486</c:v>
                </c:pt>
              </c:numCache>
            </c:numRef>
          </c:val>
        </c:ser>
        <c:ser>
          <c:idx val="5"/>
          <c:order val="5"/>
          <c:tx>
            <c:strRef>
              <c:f>Karşılaştırma!$H$4</c:f>
              <c:strCache>
                <c:ptCount val="1"/>
                <c:pt idx="0">
                  <c:v>2017-2018</c:v>
                </c:pt>
              </c:strCache>
            </c:strRef>
          </c:tx>
          <c:spPr>
            <a:solidFill>
              <a:schemeClr val="accent6"/>
            </a:solidFill>
            <a:ln>
              <a:noFill/>
            </a:ln>
            <a:effectLst/>
          </c:spPr>
          <c:invertIfNegative val="0"/>
          <c:cat>
            <c:strRef>
              <c:f>Karşılaştırma!$B$5:$B$10</c:f>
              <c:strCache>
                <c:ptCount val="6"/>
                <c:pt idx="0">
                  <c:v>Emin Değil </c:v>
                </c:pt>
                <c:pt idx="1">
                  <c:v>Zayıf</c:v>
                </c:pt>
                <c:pt idx="2">
                  <c:v>Orta </c:v>
                </c:pt>
                <c:pt idx="3">
                  <c:v>İyi</c:v>
                </c:pt>
                <c:pt idx="4">
                  <c:v>Çok İyi</c:v>
                </c:pt>
                <c:pt idx="5">
                  <c:v>Mükemmel</c:v>
                </c:pt>
              </c:strCache>
            </c:strRef>
          </c:cat>
          <c:val>
            <c:numRef>
              <c:f>Karşılaştırma!$H$5:$H$10</c:f>
              <c:numCache>
                <c:formatCode>0.00</c:formatCode>
                <c:ptCount val="6"/>
                <c:pt idx="0">
                  <c:v>0</c:v>
                </c:pt>
                <c:pt idx="1">
                  <c:v>0</c:v>
                </c:pt>
                <c:pt idx="2">
                  <c:v>3.2967032967032968E-2</c:v>
                </c:pt>
                <c:pt idx="3">
                  <c:v>0.21978021978021978</c:v>
                </c:pt>
                <c:pt idx="4">
                  <c:v>0.38461538461538464</c:v>
                </c:pt>
                <c:pt idx="5">
                  <c:v>0.36263736263736263</c:v>
                </c:pt>
              </c:numCache>
            </c:numRef>
          </c:val>
        </c:ser>
        <c:dLbls>
          <c:showLegendKey val="0"/>
          <c:showVal val="0"/>
          <c:showCatName val="0"/>
          <c:showSerName val="0"/>
          <c:showPercent val="0"/>
          <c:showBubbleSize val="0"/>
        </c:dLbls>
        <c:gapWidth val="219"/>
        <c:overlap val="-27"/>
        <c:axId val="417305800"/>
        <c:axId val="417305016"/>
      </c:barChart>
      <c:catAx>
        <c:axId val="417305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7305016"/>
        <c:crosses val="autoZero"/>
        <c:auto val="1"/>
        <c:lblAlgn val="ctr"/>
        <c:lblOffset val="100"/>
        <c:noMultiLvlLbl val="0"/>
      </c:catAx>
      <c:valAx>
        <c:axId val="417305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7305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Disiplinli olması</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Karşılaştırma!$J$4</c:f>
              <c:strCache>
                <c:ptCount val="1"/>
                <c:pt idx="0">
                  <c:v>2012-2013</c:v>
                </c:pt>
              </c:strCache>
            </c:strRef>
          </c:tx>
          <c:spPr>
            <a:solidFill>
              <a:schemeClr val="accent1"/>
            </a:solidFill>
            <a:ln>
              <a:noFill/>
            </a:ln>
            <a:effectLst/>
          </c:spPr>
          <c:invertIfNegative val="0"/>
          <c:cat>
            <c:strRef>
              <c:f>Karşılaştırma!$I$5:$I$10</c:f>
              <c:strCache>
                <c:ptCount val="6"/>
                <c:pt idx="0">
                  <c:v>Emin Değil </c:v>
                </c:pt>
                <c:pt idx="1">
                  <c:v>Zayıf</c:v>
                </c:pt>
                <c:pt idx="2">
                  <c:v>Orta </c:v>
                </c:pt>
                <c:pt idx="3">
                  <c:v>İyi</c:v>
                </c:pt>
                <c:pt idx="4">
                  <c:v>Çok İyi</c:v>
                </c:pt>
                <c:pt idx="5">
                  <c:v>Mükemmel</c:v>
                </c:pt>
              </c:strCache>
            </c:strRef>
          </c:cat>
          <c:val>
            <c:numRef>
              <c:f>Karşılaştırma!$J$5:$J$10</c:f>
              <c:numCache>
                <c:formatCode>0.00</c:formatCode>
                <c:ptCount val="6"/>
                <c:pt idx="0">
                  <c:v>0</c:v>
                </c:pt>
                <c:pt idx="1">
                  <c:v>0</c:v>
                </c:pt>
                <c:pt idx="2">
                  <c:v>0.02</c:v>
                </c:pt>
                <c:pt idx="3">
                  <c:v>0.23</c:v>
                </c:pt>
                <c:pt idx="4">
                  <c:v>0.36</c:v>
                </c:pt>
                <c:pt idx="5">
                  <c:v>0.39</c:v>
                </c:pt>
              </c:numCache>
            </c:numRef>
          </c:val>
        </c:ser>
        <c:ser>
          <c:idx val="1"/>
          <c:order val="1"/>
          <c:tx>
            <c:strRef>
              <c:f>Karşılaştırma!$K$4</c:f>
              <c:strCache>
                <c:ptCount val="1"/>
                <c:pt idx="0">
                  <c:v>2013-2014</c:v>
                </c:pt>
              </c:strCache>
            </c:strRef>
          </c:tx>
          <c:spPr>
            <a:solidFill>
              <a:schemeClr val="accent2"/>
            </a:solidFill>
            <a:ln>
              <a:noFill/>
            </a:ln>
            <a:effectLst/>
          </c:spPr>
          <c:invertIfNegative val="0"/>
          <c:cat>
            <c:strRef>
              <c:f>Karşılaştırma!$I$5:$I$10</c:f>
              <c:strCache>
                <c:ptCount val="6"/>
                <c:pt idx="0">
                  <c:v>Emin Değil </c:v>
                </c:pt>
                <c:pt idx="1">
                  <c:v>Zayıf</c:v>
                </c:pt>
                <c:pt idx="2">
                  <c:v>Orta </c:v>
                </c:pt>
                <c:pt idx="3">
                  <c:v>İyi</c:v>
                </c:pt>
                <c:pt idx="4">
                  <c:v>Çok İyi</c:v>
                </c:pt>
                <c:pt idx="5">
                  <c:v>Mükemmel</c:v>
                </c:pt>
              </c:strCache>
            </c:strRef>
          </c:cat>
          <c:val>
            <c:numRef>
              <c:f>Karşılaştırma!$K$5:$K$10</c:f>
              <c:numCache>
                <c:formatCode>0.00</c:formatCode>
                <c:ptCount val="6"/>
                <c:pt idx="0">
                  <c:v>0</c:v>
                </c:pt>
                <c:pt idx="1">
                  <c:v>0</c:v>
                </c:pt>
                <c:pt idx="2">
                  <c:v>0.03</c:v>
                </c:pt>
                <c:pt idx="3">
                  <c:v>0.1</c:v>
                </c:pt>
                <c:pt idx="4">
                  <c:v>0.4</c:v>
                </c:pt>
                <c:pt idx="5">
                  <c:v>0.47</c:v>
                </c:pt>
              </c:numCache>
            </c:numRef>
          </c:val>
        </c:ser>
        <c:ser>
          <c:idx val="2"/>
          <c:order val="2"/>
          <c:tx>
            <c:strRef>
              <c:f>Karşılaştırma!$L$4</c:f>
              <c:strCache>
                <c:ptCount val="1"/>
                <c:pt idx="0">
                  <c:v>2014-2015</c:v>
                </c:pt>
              </c:strCache>
            </c:strRef>
          </c:tx>
          <c:spPr>
            <a:solidFill>
              <a:schemeClr val="accent3"/>
            </a:solidFill>
            <a:ln>
              <a:noFill/>
            </a:ln>
            <a:effectLst/>
          </c:spPr>
          <c:invertIfNegative val="0"/>
          <c:cat>
            <c:strRef>
              <c:f>Karşılaştırma!$I$5:$I$10</c:f>
              <c:strCache>
                <c:ptCount val="6"/>
                <c:pt idx="0">
                  <c:v>Emin Değil </c:v>
                </c:pt>
                <c:pt idx="1">
                  <c:v>Zayıf</c:v>
                </c:pt>
                <c:pt idx="2">
                  <c:v>Orta </c:v>
                </c:pt>
                <c:pt idx="3">
                  <c:v>İyi</c:v>
                </c:pt>
                <c:pt idx="4">
                  <c:v>Çok İyi</c:v>
                </c:pt>
                <c:pt idx="5">
                  <c:v>Mükemmel</c:v>
                </c:pt>
              </c:strCache>
            </c:strRef>
          </c:cat>
          <c:val>
            <c:numRef>
              <c:f>Karşılaştırma!$L$5:$L$10</c:f>
              <c:numCache>
                <c:formatCode>0.00</c:formatCode>
                <c:ptCount val="6"/>
                <c:pt idx="0">
                  <c:v>0</c:v>
                </c:pt>
                <c:pt idx="1">
                  <c:v>0</c:v>
                </c:pt>
                <c:pt idx="2">
                  <c:v>0</c:v>
                </c:pt>
                <c:pt idx="3">
                  <c:v>0.12121212121212122</c:v>
                </c:pt>
                <c:pt idx="4">
                  <c:v>0.36363636363636365</c:v>
                </c:pt>
                <c:pt idx="5">
                  <c:v>0.51515151515151514</c:v>
                </c:pt>
              </c:numCache>
            </c:numRef>
          </c:val>
        </c:ser>
        <c:ser>
          <c:idx val="3"/>
          <c:order val="3"/>
          <c:tx>
            <c:strRef>
              <c:f>Karşılaştırma!$M$4</c:f>
              <c:strCache>
                <c:ptCount val="1"/>
                <c:pt idx="0">
                  <c:v>2015-2016</c:v>
                </c:pt>
              </c:strCache>
            </c:strRef>
          </c:tx>
          <c:spPr>
            <a:solidFill>
              <a:schemeClr val="accent4"/>
            </a:solidFill>
            <a:ln>
              <a:noFill/>
            </a:ln>
            <a:effectLst/>
          </c:spPr>
          <c:invertIfNegative val="0"/>
          <c:cat>
            <c:strRef>
              <c:f>Karşılaştırma!$I$5:$I$10</c:f>
              <c:strCache>
                <c:ptCount val="6"/>
                <c:pt idx="0">
                  <c:v>Emin Değil </c:v>
                </c:pt>
                <c:pt idx="1">
                  <c:v>Zayıf</c:v>
                </c:pt>
                <c:pt idx="2">
                  <c:v>Orta </c:v>
                </c:pt>
                <c:pt idx="3">
                  <c:v>İyi</c:v>
                </c:pt>
                <c:pt idx="4">
                  <c:v>Çok İyi</c:v>
                </c:pt>
                <c:pt idx="5">
                  <c:v>Mükemmel</c:v>
                </c:pt>
              </c:strCache>
            </c:strRef>
          </c:cat>
          <c:val>
            <c:numRef>
              <c:f>Karşılaştırma!$M$5:$M$10</c:f>
              <c:numCache>
                <c:formatCode>0.00</c:formatCode>
                <c:ptCount val="6"/>
                <c:pt idx="0">
                  <c:v>0</c:v>
                </c:pt>
                <c:pt idx="1">
                  <c:v>1.1494252873563218E-2</c:v>
                </c:pt>
                <c:pt idx="2">
                  <c:v>0</c:v>
                </c:pt>
                <c:pt idx="3">
                  <c:v>0.11494252873563218</c:v>
                </c:pt>
                <c:pt idx="4">
                  <c:v>0.35632183908045978</c:v>
                </c:pt>
                <c:pt idx="5">
                  <c:v>0.51724137931034486</c:v>
                </c:pt>
              </c:numCache>
            </c:numRef>
          </c:val>
        </c:ser>
        <c:ser>
          <c:idx val="4"/>
          <c:order val="4"/>
          <c:tx>
            <c:strRef>
              <c:f>Karşılaştırma!$N$4</c:f>
              <c:strCache>
                <c:ptCount val="1"/>
                <c:pt idx="0">
                  <c:v>2016-2017</c:v>
                </c:pt>
              </c:strCache>
            </c:strRef>
          </c:tx>
          <c:spPr>
            <a:solidFill>
              <a:schemeClr val="accent5"/>
            </a:solidFill>
            <a:ln>
              <a:noFill/>
            </a:ln>
            <a:effectLst/>
          </c:spPr>
          <c:invertIfNegative val="0"/>
          <c:cat>
            <c:strRef>
              <c:f>Karşılaştırma!$I$5:$I$10</c:f>
              <c:strCache>
                <c:ptCount val="6"/>
                <c:pt idx="0">
                  <c:v>Emin Değil </c:v>
                </c:pt>
                <c:pt idx="1">
                  <c:v>Zayıf</c:v>
                </c:pt>
                <c:pt idx="2">
                  <c:v>Orta </c:v>
                </c:pt>
                <c:pt idx="3">
                  <c:v>İyi</c:v>
                </c:pt>
                <c:pt idx="4">
                  <c:v>Çok İyi</c:v>
                </c:pt>
                <c:pt idx="5">
                  <c:v>Mükemmel</c:v>
                </c:pt>
              </c:strCache>
            </c:strRef>
          </c:cat>
          <c:val>
            <c:numRef>
              <c:f>Karşılaştırma!$N$5:$N$10</c:f>
              <c:numCache>
                <c:formatCode>0.00</c:formatCode>
                <c:ptCount val="6"/>
                <c:pt idx="0">
                  <c:v>0</c:v>
                </c:pt>
                <c:pt idx="1">
                  <c:v>0</c:v>
                </c:pt>
                <c:pt idx="2">
                  <c:v>0</c:v>
                </c:pt>
                <c:pt idx="3">
                  <c:v>0.10810810810810811</c:v>
                </c:pt>
                <c:pt idx="4">
                  <c:v>0.39189189189189189</c:v>
                </c:pt>
                <c:pt idx="5">
                  <c:v>0.5</c:v>
                </c:pt>
              </c:numCache>
            </c:numRef>
          </c:val>
        </c:ser>
        <c:ser>
          <c:idx val="5"/>
          <c:order val="5"/>
          <c:tx>
            <c:strRef>
              <c:f>Karşılaştırma!$O$4</c:f>
              <c:strCache>
                <c:ptCount val="1"/>
                <c:pt idx="0">
                  <c:v>2017-2018</c:v>
                </c:pt>
              </c:strCache>
            </c:strRef>
          </c:tx>
          <c:spPr>
            <a:solidFill>
              <a:schemeClr val="accent6"/>
            </a:solidFill>
            <a:ln>
              <a:noFill/>
            </a:ln>
            <a:effectLst/>
          </c:spPr>
          <c:invertIfNegative val="0"/>
          <c:cat>
            <c:strRef>
              <c:f>Karşılaştırma!$I$5:$I$10</c:f>
              <c:strCache>
                <c:ptCount val="6"/>
                <c:pt idx="0">
                  <c:v>Emin Değil </c:v>
                </c:pt>
                <c:pt idx="1">
                  <c:v>Zayıf</c:v>
                </c:pt>
                <c:pt idx="2">
                  <c:v>Orta </c:v>
                </c:pt>
                <c:pt idx="3">
                  <c:v>İyi</c:v>
                </c:pt>
                <c:pt idx="4">
                  <c:v>Çok İyi</c:v>
                </c:pt>
                <c:pt idx="5">
                  <c:v>Mükemmel</c:v>
                </c:pt>
              </c:strCache>
            </c:strRef>
          </c:cat>
          <c:val>
            <c:numRef>
              <c:f>Karşılaştırma!$O$5:$O$10</c:f>
              <c:numCache>
                <c:formatCode>0.00</c:formatCode>
                <c:ptCount val="6"/>
                <c:pt idx="0">
                  <c:v>0</c:v>
                </c:pt>
                <c:pt idx="1">
                  <c:v>0</c:v>
                </c:pt>
                <c:pt idx="2">
                  <c:v>5.5555555555555552E-2</c:v>
                </c:pt>
                <c:pt idx="3">
                  <c:v>0.15555555555555556</c:v>
                </c:pt>
                <c:pt idx="4">
                  <c:v>0.32222222222222224</c:v>
                </c:pt>
                <c:pt idx="5">
                  <c:v>0.46666666666666667</c:v>
                </c:pt>
              </c:numCache>
            </c:numRef>
          </c:val>
        </c:ser>
        <c:dLbls>
          <c:showLegendKey val="0"/>
          <c:showVal val="0"/>
          <c:showCatName val="0"/>
          <c:showSerName val="0"/>
          <c:showPercent val="0"/>
          <c:showBubbleSize val="0"/>
        </c:dLbls>
        <c:gapWidth val="219"/>
        <c:overlap val="-27"/>
        <c:axId val="417308152"/>
        <c:axId val="417303056"/>
      </c:barChart>
      <c:catAx>
        <c:axId val="417308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7303056"/>
        <c:crosses val="autoZero"/>
        <c:auto val="1"/>
        <c:lblAlgn val="ctr"/>
        <c:lblOffset val="100"/>
        <c:noMultiLvlLbl val="0"/>
      </c:catAx>
      <c:valAx>
        <c:axId val="4173030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7308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tr-TR" sz="1400" b="0" i="0" baseline="0">
                <a:effectLst/>
              </a:rPr>
              <a:t>İletişim kurma becerisi ve takım çalışmasına yatkın olması</a:t>
            </a:r>
            <a:endParaRPr lang="tr-TR" sz="1400">
              <a:effectLst/>
            </a:endParaRPr>
          </a:p>
        </c:rich>
      </c:tx>
      <c:layout>
        <c:manualLayout>
          <c:xMode val="edge"/>
          <c:yMode val="edge"/>
          <c:x val="0.15337510936132984"/>
          <c:y val="2.777777777777777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Karşılaştırma!$Q$4</c:f>
              <c:strCache>
                <c:ptCount val="1"/>
                <c:pt idx="0">
                  <c:v>2012-2013</c:v>
                </c:pt>
              </c:strCache>
            </c:strRef>
          </c:tx>
          <c:spPr>
            <a:solidFill>
              <a:schemeClr val="accent1"/>
            </a:solidFill>
            <a:ln>
              <a:noFill/>
            </a:ln>
            <a:effectLst/>
          </c:spPr>
          <c:invertIfNegative val="0"/>
          <c:cat>
            <c:strRef>
              <c:f>Karşılaştırma!$P$5:$P$10</c:f>
              <c:strCache>
                <c:ptCount val="6"/>
                <c:pt idx="0">
                  <c:v>Emin Değil </c:v>
                </c:pt>
                <c:pt idx="1">
                  <c:v>Zayıf</c:v>
                </c:pt>
                <c:pt idx="2">
                  <c:v>Orta </c:v>
                </c:pt>
                <c:pt idx="3">
                  <c:v>İyi</c:v>
                </c:pt>
                <c:pt idx="4">
                  <c:v>Çok İyi</c:v>
                </c:pt>
                <c:pt idx="5">
                  <c:v>Mükemmel</c:v>
                </c:pt>
              </c:strCache>
            </c:strRef>
          </c:cat>
          <c:val>
            <c:numRef>
              <c:f>Karşılaştırma!$Q$5:$Q$10</c:f>
              <c:numCache>
                <c:formatCode>0.00</c:formatCode>
                <c:ptCount val="6"/>
                <c:pt idx="0">
                  <c:v>0</c:v>
                </c:pt>
                <c:pt idx="1">
                  <c:v>0</c:v>
                </c:pt>
                <c:pt idx="2">
                  <c:v>0</c:v>
                </c:pt>
                <c:pt idx="3" formatCode="General">
                  <c:v>0.11</c:v>
                </c:pt>
                <c:pt idx="4" formatCode="General">
                  <c:v>0.34</c:v>
                </c:pt>
                <c:pt idx="5" formatCode="General">
                  <c:v>0.55000000000000004</c:v>
                </c:pt>
              </c:numCache>
            </c:numRef>
          </c:val>
        </c:ser>
        <c:ser>
          <c:idx val="1"/>
          <c:order val="1"/>
          <c:tx>
            <c:strRef>
              <c:f>Karşılaştırma!$R$4</c:f>
              <c:strCache>
                <c:ptCount val="1"/>
                <c:pt idx="0">
                  <c:v>2013-2014</c:v>
                </c:pt>
              </c:strCache>
            </c:strRef>
          </c:tx>
          <c:spPr>
            <a:solidFill>
              <a:schemeClr val="accent2"/>
            </a:solidFill>
            <a:ln>
              <a:noFill/>
            </a:ln>
            <a:effectLst/>
          </c:spPr>
          <c:invertIfNegative val="0"/>
          <c:cat>
            <c:strRef>
              <c:f>Karşılaştırma!$P$5:$P$10</c:f>
              <c:strCache>
                <c:ptCount val="6"/>
                <c:pt idx="0">
                  <c:v>Emin Değil </c:v>
                </c:pt>
                <c:pt idx="1">
                  <c:v>Zayıf</c:v>
                </c:pt>
                <c:pt idx="2">
                  <c:v>Orta </c:v>
                </c:pt>
                <c:pt idx="3">
                  <c:v>İyi</c:v>
                </c:pt>
                <c:pt idx="4">
                  <c:v>Çok İyi</c:v>
                </c:pt>
                <c:pt idx="5">
                  <c:v>Mükemmel</c:v>
                </c:pt>
              </c:strCache>
            </c:strRef>
          </c:cat>
          <c:val>
            <c:numRef>
              <c:f>Karşılaştırma!$R$5:$R$10</c:f>
              <c:numCache>
                <c:formatCode>0.00</c:formatCode>
                <c:ptCount val="6"/>
                <c:pt idx="0">
                  <c:v>0</c:v>
                </c:pt>
                <c:pt idx="1">
                  <c:v>0</c:v>
                </c:pt>
                <c:pt idx="2">
                  <c:v>0.02</c:v>
                </c:pt>
                <c:pt idx="3" formatCode="General">
                  <c:v>0.18</c:v>
                </c:pt>
                <c:pt idx="4" formatCode="General">
                  <c:v>0.32</c:v>
                </c:pt>
                <c:pt idx="5" formatCode="General">
                  <c:v>0.48</c:v>
                </c:pt>
              </c:numCache>
            </c:numRef>
          </c:val>
        </c:ser>
        <c:ser>
          <c:idx val="2"/>
          <c:order val="2"/>
          <c:tx>
            <c:strRef>
              <c:f>Karşılaştırma!$S$4</c:f>
              <c:strCache>
                <c:ptCount val="1"/>
                <c:pt idx="0">
                  <c:v>2014-2015</c:v>
                </c:pt>
              </c:strCache>
            </c:strRef>
          </c:tx>
          <c:spPr>
            <a:solidFill>
              <a:schemeClr val="accent3"/>
            </a:solidFill>
            <a:ln>
              <a:noFill/>
            </a:ln>
            <a:effectLst/>
          </c:spPr>
          <c:invertIfNegative val="0"/>
          <c:cat>
            <c:strRef>
              <c:f>Karşılaştırma!$P$5:$P$10</c:f>
              <c:strCache>
                <c:ptCount val="6"/>
                <c:pt idx="0">
                  <c:v>Emin Değil </c:v>
                </c:pt>
                <c:pt idx="1">
                  <c:v>Zayıf</c:v>
                </c:pt>
                <c:pt idx="2">
                  <c:v>Orta </c:v>
                </c:pt>
                <c:pt idx="3">
                  <c:v>İyi</c:v>
                </c:pt>
                <c:pt idx="4">
                  <c:v>Çok İyi</c:v>
                </c:pt>
                <c:pt idx="5">
                  <c:v>Mükemmel</c:v>
                </c:pt>
              </c:strCache>
            </c:strRef>
          </c:cat>
          <c:val>
            <c:numRef>
              <c:f>Karşılaştırma!$S$5:$S$10</c:f>
              <c:numCache>
                <c:formatCode>0.00</c:formatCode>
                <c:ptCount val="6"/>
                <c:pt idx="0">
                  <c:v>1.5151515151515152E-2</c:v>
                </c:pt>
                <c:pt idx="1">
                  <c:v>0</c:v>
                </c:pt>
                <c:pt idx="2">
                  <c:v>1.5151515151515152E-2</c:v>
                </c:pt>
                <c:pt idx="3">
                  <c:v>9.0909090909090912E-2</c:v>
                </c:pt>
                <c:pt idx="4">
                  <c:v>0.36363636363636365</c:v>
                </c:pt>
                <c:pt idx="5">
                  <c:v>0.51515151515151514</c:v>
                </c:pt>
              </c:numCache>
            </c:numRef>
          </c:val>
        </c:ser>
        <c:ser>
          <c:idx val="3"/>
          <c:order val="3"/>
          <c:tx>
            <c:strRef>
              <c:f>Karşılaştırma!$T$4</c:f>
              <c:strCache>
                <c:ptCount val="1"/>
                <c:pt idx="0">
                  <c:v>2015-2016</c:v>
                </c:pt>
              </c:strCache>
            </c:strRef>
          </c:tx>
          <c:spPr>
            <a:solidFill>
              <a:schemeClr val="accent4"/>
            </a:solidFill>
            <a:ln>
              <a:noFill/>
            </a:ln>
            <a:effectLst/>
          </c:spPr>
          <c:invertIfNegative val="0"/>
          <c:cat>
            <c:strRef>
              <c:f>Karşılaştırma!$P$5:$P$10</c:f>
              <c:strCache>
                <c:ptCount val="6"/>
                <c:pt idx="0">
                  <c:v>Emin Değil </c:v>
                </c:pt>
                <c:pt idx="1">
                  <c:v>Zayıf</c:v>
                </c:pt>
                <c:pt idx="2">
                  <c:v>Orta </c:v>
                </c:pt>
                <c:pt idx="3">
                  <c:v>İyi</c:v>
                </c:pt>
                <c:pt idx="4">
                  <c:v>Çok İyi</c:v>
                </c:pt>
                <c:pt idx="5">
                  <c:v>Mükemmel</c:v>
                </c:pt>
              </c:strCache>
            </c:strRef>
          </c:cat>
          <c:val>
            <c:numRef>
              <c:f>Karşılaştırma!$T$5:$T$10</c:f>
              <c:numCache>
                <c:formatCode>0.00</c:formatCode>
                <c:ptCount val="6"/>
                <c:pt idx="0">
                  <c:v>0</c:v>
                </c:pt>
                <c:pt idx="1">
                  <c:v>0</c:v>
                </c:pt>
                <c:pt idx="2">
                  <c:v>0</c:v>
                </c:pt>
                <c:pt idx="3">
                  <c:v>0.17241379310344829</c:v>
                </c:pt>
                <c:pt idx="4">
                  <c:v>0.21839080459770116</c:v>
                </c:pt>
                <c:pt idx="5">
                  <c:v>0.60919540229885061</c:v>
                </c:pt>
              </c:numCache>
            </c:numRef>
          </c:val>
        </c:ser>
        <c:ser>
          <c:idx val="4"/>
          <c:order val="4"/>
          <c:tx>
            <c:strRef>
              <c:f>Karşılaştırma!$U$4</c:f>
              <c:strCache>
                <c:ptCount val="1"/>
                <c:pt idx="0">
                  <c:v>2016-2017</c:v>
                </c:pt>
              </c:strCache>
            </c:strRef>
          </c:tx>
          <c:spPr>
            <a:solidFill>
              <a:schemeClr val="accent5"/>
            </a:solidFill>
            <a:ln>
              <a:noFill/>
            </a:ln>
            <a:effectLst/>
          </c:spPr>
          <c:invertIfNegative val="0"/>
          <c:cat>
            <c:strRef>
              <c:f>Karşılaştırma!$P$5:$P$10</c:f>
              <c:strCache>
                <c:ptCount val="6"/>
                <c:pt idx="0">
                  <c:v>Emin Değil </c:v>
                </c:pt>
                <c:pt idx="1">
                  <c:v>Zayıf</c:v>
                </c:pt>
                <c:pt idx="2">
                  <c:v>Orta </c:v>
                </c:pt>
                <c:pt idx="3">
                  <c:v>İyi</c:v>
                </c:pt>
                <c:pt idx="4">
                  <c:v>Çok İyi</c:v>
                </c:pt>
                <c:pt idx="5">
                  <c:v>Mükemmel</c:v>
                </c:pt>
              </c:strCache>
            </c:strRef>
          </c:cat>
          <c:val>
            <c:numRef>
              <c:f>Karşılaştırma!$U$5:$U$10</c:f>
              <c:numCache>
                <c:formatCode>0.00</c:formatCode>
                <c:ptCount val="6"/>
                <c:pt idx="0">
                  <c:v>0</c:v>
                </c:pt>
                <c:pt idx="1">
                  <c:v>0</c:v>
                </c:pt>
                <c:pt idx="2">
                  <c:v>0</c:v>
                </c:pt>
                <c:pt idx="3">
                  <c:v>0.10810810810810811</c:v>
                </c:pt>
                <c:pt idx="4">
                  <c:v>0.36486486486486486</c:v>
                </c:pt>
                <c:pt idx="5">
                  <c:v>0.52702702702702697</c:v>
                </c:pt>
              </c:numCache>
            </c:numRef>
          </c:val>
        </c:ser>
        <c:ser>
          <c:idx val="5"/>
          <c:order val="5"/>
          <c:tx>
            <c:strRef>
              <c:f>Karşılaştırma!$V$4</c:f>
              <c:strCache>
                <c:ptCount val="1"/>
                <c:pt idx="0">
                  <c:v>2017-2018</c:v>
                </c:pt>
              </c:strCache>
            </c:strRef>
          </c:tx>
          <c:spPr>
            <a:solidFill>
              <a:schemeClr val="accent6"/>
            </a:solidFill>
            <a:ln>
              <a:noFill/>
            </a:ln>
            <a:effectLst/>
          </c:spPr>
          <c:invertIfNegative val="0"/>
          <c:cat>
            <c:strRef>
              <c:f>Karşılaştırma!$P$5:$P$10</c:f>
              <c:strCache>
                <c:ptCount val="6"/>
                <c:pt idx="0">
                  <c:v>Emin Değil </c:v>
                </c:pt>
                <c:pt idx="1">
                  <c:v>Zayıf</c:v>
                </c:pt>
                <c:pt idx="2">
                  <c:v>Orta </c:v>
                </c:pt>
                <c:pt idx="3">
                  <c:v>İyi</c:v>
                </c:pt>
                <c:pt idx="4">
                  <c:v>Çok İyi</c:v>
                </c:pt>
                <c:pt idx="5">
                  <c:v>Mükemmel</c:v>
                </c:pt>
              </c:strCache>
            </c:strRef>
          </c:cat>
          <c:val>
            <c:numRef>
              <c:f>Karşılaştırma!$V$5:$V$10</c:f>
              <c:numCache>
                <c:formatCode>0.00</c:formatCode>
                <c:ptCount val="6"/>
                <c:pt idx="0">
                  <c:v>0</c:v>
                </c:pt>
                <c:pt idx="1">
                  <c:v>0</c:v>
                </c:pt>
                <c:pt idx="2">
                  <c:v>4.3956043956043959E-2</c:v>
                </c:pt>
                <c:pt idx="3">
                  <c:v>0.12087912087912088</c:v>
                </c:pt>
                <c:pt idx="4">
                  <c:v>0.38461538461538464</c:v>
                </c:pt>
                <c:pt idx="5">
                  <c:v>0.45054945054945056</c:v>
                </c:pt>
              </c:numCache>
            </c:numRef>
          </c:val>
        </c:ser>
        <c:dLbls>
          <c:showLegendKey val="0"/>
          <c:showVal val="0"/>
          <c:showCatName val="0"/>
          <c:showSerName val="0"/>
          <c:showPercent val="0"/>
          <c:showBubbleSize val="0"/>
        </c:dLbls>
        <c:gapWidth val="219"/>
        <c:overlap val="-27"/>
        <c:axId val="417303448"/>
        <c:axId val="417303840"/>
      </c:barChart>
      <c:catAx>
        <c:axId val="417303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7303840"/>
        <c:crosses val="autoZero"/>
        <c:auto val="1"/>
        <c:lblAlgn val="ctr"/>
        <c:lblOffset val="100"/>
        <c:noMultiLvlLbl val="0"/>
      </c:catAx>
      <c:valAx>
        <c:axId val="417303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7303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Bilgisini anlaşılır şekilde yazılı ve sözlü olarak ifade edebilmesi</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Karşılaştırma!$X$4</c:f>
              <c:strCache>
                <c:ptCount val="1"/>
                <c:pt idx="0">
                  <c:v>2012-2013</c:v>
                </c:pt>
              </c:strCache>
            </c:strRef>
          </c:tx>
          <c:spPr>
            <a:solidFill>
              <a:schemeClr val="accent1"/>
            </a:solidFill>
            <a:ln>
              <a:noFill/>
            </a:ln>
            <a:effectLst/>
          </c:spPr>
          <c:invertIfNegative val="0"/>
          <c:cat>
            <c:strRef>
              <c:f>Karşılaştırma!$W$5:$W$10</c:f>
              <c:strCache>
                <c:ptCount val="6"/>
                <c:pt idx="0">
                  <c:v>Emin Değil </c:v>
                </c:pt>
                <c:pt idx="1">
                  <c:v>Zayıf</c:v>
                </c:pt>
                <c:pt idx="2">
                  <c:v>Orta </c:v>
                </c:pt>
                <c:pt idx="3">
                  <c:v>İyi</c:v>
                </c:pt>
                <c:pt idx="4">
                  <c:v>Çok İyi</c:v>
                </c:pt>
                <c:pt idx="5">
                  <c:v>Mükemmel</c:v>
                </c:pt>
              </c:strCache>
            </c:strRef>
          </c:cat>
          <c:val>
            <c:numRef>
              <c:f>Karşılaştırma!$X$5:$X$10</c:f>
              <c:numCache>
                <c:formatCode>0.00</c:formatCode>
                <c:ptCount val="6"/>
                <c:pt idx="0">
                  <c:v>0</c:v>
                </c:pt>
                <c:pt idx="1">
                  <c:v>0</c:v>
                </c:pt>
                <c:pt idx="2">
                  <c:v>0</c:v>
                </c:pt>
                <c:pt idx="3">
                  <c:v>0.23</c:v>
                </c:pt>
                <c:pt idx="4">
                  <c:v>0.43</c:v>
                </c:pt>
                <c:pt idx="5">
                  <c:v>0.34</c:v>
                </c:pt>
              </c:numCache>
            </c:numRef>
          </c:val>
        </c:ser>
        <c:ser>
          <c:idx val="1"/>
          <c:order val="1"/>
          <c:tx>
            <c:strRef>
              <c:f>Karşılaştırma!$Y$4</c:f>
              <c:strCache>
                <c:ptCount val="1"/>
                <c:pt idx="0">
                  <c:v>2013-2014</c:v>
                </c:pt>
              </c:strCache>
            </c:strRef>
          </c:tx>
          <c:spPr>
            <a:solidFill>
              <a:schemeClr val="accent2"/>
            </a:solidFill>
            <a:ln>
              <a:noFill/>
            </a:ln>
            <a:effectLst/>
          </c:spPr>
          <c:invertIfNegative val="0"/>
          <c:cat>
            <c:strRef>
              <c:f>Karşılaştırma!$W$5:$W$10</c:f>
              <c:strCache>
                <c:ptCount val="6"/>
                <c:pt idx="0">
                  <c:v>Emin Değil </c:v>
                </c:pt>
                <c:pt idx="1">
                  <c:v>Zayıf</c:v>
                </c:pt>
                <c:pt idx="2">
                  <c:v>Orta </c:v>
                </c:pt>
                <c:pt idx="3">
                  <c:v>İyi</c:v>
                </c:pt>
                <c:pt idx="4">
                  <c:v>Çok İyi</c:v>
                </c:pt>
                <c:pt idx="5">
                  <c:v>Mükemmel</c:v>
                </c:pt>
              </c:strCache>
            </c:strRef>
          </c:cat>
          <c:val>
            <c:numRef>
              <c:f>Karşılaştırma!$Y$5:$Y$10</c:f>
              <c:numCache>
                <c:formatCode>0.00</c:formatCode>
                <c:ptCount val="6"/>
                <c:pt idx="0">
                  <c:v>0</c:v>
                </c:pt>
                <c:pt idx="1">
                  <c:v>0</c:v>
                </c:pt>
                <c:pt idx="2">
                  <c:v>0</c:v>
                </c:pt>
                <c:pt idx="3">
                  <c:v>0.2</c:v>
                </c:pt>
                <c:pt idx="4">
                  <c:v>0.38</c:v>
                </c:pt>
                <c:pt idx="5">
                  <c:v>0.42</c:v>
                </c:pt>
              </c:numCache>
            </c:numRef>
          </c:val>
        </c:ser>
        <c:ser>
          <c:idx val="2"/>
          <c:order val="2"/>
          <c:tx>
            <c:strRef>
              <c:f>Karşılaştırma!$Z$4</c:f>
              <c:strCache>
                <c:ptCount val="1"/>
                <c:pt idx="0">
                  <c:v>2014-2015</c:v>
                </c:pt>
              </c:strCache>
            </c:strRef>
          </c:tx>
          <c:spPr>
            <a:solidFill>
              <a:schemeClr val="accent3"/>
            </a:solidFill>
            <a:ln>
              <a:noFill/>
            </a:ln>
            <a:effectLst/>
          </c:spPr>
          <c:invertIfNegative val="0"/>
          <c:cat>
            <c:strRef>
              <c:f>Karşılaştırma!$W$5:$W$10</c:f>
              <c:strCache>
                <c:ptCount val="6"/>
                <c:pt idx="0">
                  <c:v>Emin Değil </c:v>
                </c:pt>
                <c:pt idx="1">
                  <c:v>Zayıf</c:v>
                </c:pt>
                <c:pt idx="2">
                  <c:v>Orta </c:v>
                </c:pt>
                <c:pt idx="3">
                  <c:v>İyi</c:v>
                </c:pt>
                <c:pt idx="4">
                  <c:v>Çok İyi</c:v>
                </c:pt>
                <c:pt idx="5">
                  <c:v>Mükemmel</c:v>
                </c:pt>
              </c:strCache>
            </c:strRef>
          </c:cat>
          <c:val>
            <c:numRef>
              <c:f>Karşılaştırma!$Z$5:$Z$10</c:f>
              <c:numCache>
                <c:formatCode>0.00</c:formatCode>
                <c:ptCount val="6"/>
                <c:pt idx="0">
                  <c:v>0</c:v>
                </c:pt>
                <c:pt idx="1">
                  <c:v>0</c:v>
                </c:pt>
                <c:pt idx="2">
                  <c:v>1.5151515151515152E-2</c:v>
                </c:pt>
                <c:pt idx="3">
                  <c:v>0.16666666666666666</c:v>
                </c:pt>
                <c:pt idx="4">
                  <c:v>0.37878787878787878</c:v>
                </c:pt>
                <c:pt idx="5">
                  <c:v>0.43939393939393939</c:v>
                </c:pt>
              </c:numCache>
            </c:numRef>
          </c:val>
        </c:ser>
        <c:ser>
          <c:idx val="3"/>
          <c:order val="3"/>
          <c:tx>
            <c:strRef>
              <c:f>Karşılaştırma!$AA$4</c:f>
              <c:strCache>
                <c:ptCount val="1"/>
                <c:pt idx="0">
                  <c:v>2015-2016</c:v>
                </c:pt>
              </c:strCache>
            </c:strRef>
          </c:tx>
          <c:spPr>
            <a:solidFill>
              <a:schemeClr val="accent4"/>
            </a:solidFill>
            <a:ln>
              <a:noFill/>
            </a:ln>
            <a:effectLst/>
          </c:spPr>
          <c:invertIfNegative val="0"/>
          <c:cat>
            <c:strRef>
              <c:f>Karşılaştırma!$W$5:$W$10</c:f>
              <c:strCache>
                <c:ptCount val="6"/>
                <c:pt idx="0">
                  <c:v>Emin Değil </c:v>
                </c:pt>
                <c:pt idx="1">
                  <c:v>Zayıf</c:v>
                </c:pt>
                <c:pt idx="2">
                  <c:v>Orta </c:v>
                </c:pt>
                <c:pt idx="3">
                  <c:v>İyi</c:v>
                </c:pt>
                <c:pt idx="4">
                  <c:v>Çok İyi</c:v>
                </c:pt>
                <c:pt idx="5">
                  <c:v>Mükemmel</c:v>
                </c:pt>
              </c:strCache>
            </c:strRef>
          </c:cat>
          <c:val>
            <c:numRef>
              <c:f>Karşılaştırma!$AA$5:$AA$10</c:f>
              <c:numCache>
                <c:formatCode>0.00</c:formatCode>
                <c:ptCount val="6"/>
                <c:pt idx="0">
                  <c:v>0</c:v>
                </c:pt>
                <c:pt idx="1">
                  <c:v>0</c:v>
                </c:pt>
                <c:pt idx="2">
                  <c:v>0</c:v>
                </c:pt>
                <c:pt idx="3">
                  <c:v>0.16091954022988506</c:v>
                </c:pt>
                <c:pt idx="4">
                  <c:v>0.37931034482758619</c:v>
                </c:pt>
                <c:pt idx="5">
                  <c:v>0.45977011494252873</c:v>
                </c:pt>
              </c:numCache>
            </c:numRef>
          </c:val>
        </c:ser>
        <c:ser>
          <c:idx val="4"/>
          <c:order val="4"/>
          <c:tx>
            <c:strRef>
              <c:f>Karşılaştırma!$AB$4</c:f>
              <c:strCache>
                <c:ptCount val="1"/>
                <c:pt idx="0">
                  <c:v>2016-2017</c:v>
                </c:pt>
              </c:strCache>
            </c:strRef>
          </c:tx>
          <c:spPr>
            <a:solidFill>
              <a:schemeClr val="accent5"/>
            </a:solidFill>
            <a:ln>
              <a:noFill/>
            </a:ln>
            <a:effectLst/>
          </c:spPr>
          <c:invertIfNegative val="0"/>
          <c:cat>
            <c:strRef>
              <c:f>Karşılaştırma!$W$5:$W$10</c:f>
              <c:strCache>
                <c:ptCount val="6"/>
                <c:pt idx="0">
                  <c:v>Emin Değil </c:v>
                </c:pt>
                <c:pt idx="1">
                  <c:v>Zayıf</c:v>
                </c:pt>
                <c:pt idx="2">
                  <c:v>Orta </c:v>
                </c:pt>
                <c:pt idx="3">
                  <c:v>İyi</c:v>
                </c:pt>
                <c:pt idx="4">
                  <c:v>Çok İyi</c:v>
                </c:pt>
                <c:pt idx="5">
                  <c:v>Mükemmel</c:v>
                </c:pt>
              </c:strCache>
            </c:strRef>
          </c:cat>
          <c:val>
            <c:numRef>
              <c:f>Karşılaştırma!$AB$5:$AB$10</c:f>
              <c:numCache>
                <c:formatCode>0.00</c:formatCode>
                <c:ptCount val="6"/>
                <c:pt idx="0">
                  <c:v>0</c:v>
                </c:pt>
                <c:pt idx="1">
                  <c:v>0</c:v>
                </c:pt>
                <c:pt idx="2">
                  <c:v>1.3513513513513514E-2</c:v>
                </c:pt>
                <c:pt idx="3">
                  <c:v>0.14864864864864866</c:v>
                </c:pt>
                <c:pt idx="4">
                  <c:v>0.43243243243243246</c:v>
                </c:pt>
                <c:pt idx="5">
                  <c:v>0.40540540540540543</c:v>
                </c:pt>
              </c:numCache>
            </c:numRef>
          </c:val>
        </c:ser>
        <c:ser>
          <c:idx val="5"/>
          <c:order val="5"/>
          <c:tx>
            <c:strRef>
              <c:f>Karşılaştırma!$AC$4</c:f>
              <c:strCache>
                <c:ptCount val="1"/>
                <c:pt idx="0">
                  <c:v>2017-2018</c:v>
                </c:pt>
              </c:strCache>
            </c:strRef>
          </c:tx>
          <c:spPr>
            <a:solidFill>
              <a:schemeClr val="accent6"/>
            </a:solidFill>
            <a:ln>
              <a:noFill/>
            </a:ln>
            <a:effectLst/>
          </c:spPr>
          <c:invertIfNegative val="0"/>
          <c:cat>
            <c:strRef>
              <c:f>Karşılaştırma!$W$5:$W$10</c:f>
              <c:strCache>
                <c:ptCount val="6"/>
                <c:pt idx="0">
                  <c:v>Emin Değil </c:v>
                </c:pt>
                <c:pt idx="1">
                  <c:v>Zayıf</c:v>
                </c:pt>
                <c:pt idx="2">
                  <c:v>Orta </c:v>
                </c:pt>
                <c:pt idx="3">
                  <c:v>İyi</c:v>
                </c:pt>
                <c:pt idx="4">
                  <c:v>Çok İyi</c:v>
                </c:pt>
                <c:pt idx="5">
                  <c:v>Mükemmel</c:v>
                </c:pt>
              </c:strCache>
            </c:strRef>
          </c:cat>
          <c:val>
            <c:numRef>
              <c:f>Karşılaştırma!$AC$5:$AC$10</c:f>
              <c:numCache>
                <c:formatCode>0.00</c:formatCode>
                <c:ptCount val="6"/>
                <c:pt idx="0">
                  <c:v>0</c:v>
                </c:pt>
                <c:pt idx="1">
                  <c:v>0</c:v>
                </c:pt>
                <c:pt idx="2">
                  <c:v>3.2967032967032968E-2</c:v>
                </c:pt>
                <c:pt idx="3">
                  <c:v>0.16483516483516483</c:v>
                </c:pt>
                <c:pt idx="4">
                  <c:v>0.36263736263736263</c:v>
                </c:pt>
                <c:pt idx="5">
                  <c:v>0.43956043956043955</c:v>
                </c:pt>
              </c:numCache>
            </c:numRef>
          </c:val>
        </c:ser>
        <c:dLbls>
          <c:showLegendKey val="0"/>
          <c:showVal val="0"/>
          <c:showCatName val="0"/>
          <c:showSerName val="0"/>
          <c:showPercent val="0"/>
          <c:showBubbleSize val="0"/>
        </c:dLbls>
        <c:gapWidth val="219"/>
        <c:overlap val="-27"/>
        <c:axId val="417305408"/>
        <c:axId val="607395736"/>
      </c:barChart>
      <c:catAx>
        <c:axId val="41730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07395736"/>
        <c:crosses val="autoZero"/>
        <c:auto val="1"/>
        <c:lblAlgn val="ctr"/>
        <c:lblOffset val="100"/>
        <c:noMultiLvlLbl val="0"/>
      </c:catAx>
      <c:valAx>
        <c:axId val="6073957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730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Analitik düşünme ve bilgiyi etkin kullanma becerisine sahip olması</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Karşılaştırma!$AE$4</c:f>
              <c:strCache>
                <c:ptCount val="1"/>
                <c:pt idx="0">
                  <c:v>2012-2013</c:v>
                </c:pt>
              </c:strCache>
            </c:strRef>
          </c:tx>
          <c:spPr>
            <a:solidFill>
              <a:schemeClr val="accent1"/>
            </a:solidFill>
            <a:ln>
              <a:noFill/>
            </a:ln>
            <a:effectLst/>
          </c:spPr>
          <c:invertIfNegative val="0"/>
          <c:cat>
            <c:strRef>
              <c:f>Karşılaştırma!$AD$5:$AD$10</c:f>
              <c:strCache>
                <c:ptCount val="6"/>
                <c:pt idx="0">
                  <c:v>Emin Değil </c:v>
                </c:pt>
                <c:pt idx="1">
                  <c:v>Zayıf</c:v>
                </c:pt>
                <c:pt idx="2">
                  <c:v>Orta </c:v>
                </c:pt>
                <c:pt idx="3">
                  <c:v>İyi</c:v>
                </c:pt>
                <c:pt idx="4">
                  <c:v>Çok İyi</c:v>
                </c:pt>
                <c:pt idx="5">
                  <c:v>Mükemmel</c:v>
                </c:pt>
              </c:strCache>
            </c:strRef>
          </c:cat>
          <c:val>
            <c:numRef>
              <c:f>Karşılaştırma!$AE$5:$AE$10</c:f>
              <c:numCache>
                <c:formatCode>General</c:formatCode>
                <c:ptCount val="6"/>
                <c:pt idx="0">
                  <c:v>0.02</c:v>
                </c:pt>
                <c:pt idx="1">
                  <c:v>0</c:v>
                </c:pt>
                <c:pt idx="2">
                  <c:v>0</c:v>
                </c:pt>
                <c:pt idx="3">
                  <c:v>0.25</c:v>
                </c:pt>
                <c:pt idx="4">
                  <c:v>0.45</c:v>
                </c:pt>
                <c:pt idx="5">
                  <c:v>0.27</c:v>
                </c:pt>
              </c:numCache>
            </c:numRef>
          </c:val>
        </c:ser>
        <c:ser>
          <c:idx val="1"/>
          <c:order val="1"/>
          <c:tx>
            <c:strRef>
              <c:f>Karşılaştırma!$AF$4</c:f>
              <c:strCache>
                <c:ptCount val="1"/>
                <c:pt idx="0">
                  <c:v>2013-2014</c:v>
                </c:pt>
              </c:strCache>
            </c:strRef>
          </c:tx>
          <c:spPr>
            <a:solidFill>
              <a:schemeClr val="accent2"/>
            </a:solidFill>
            <a:ln>
              <a:noFill/>
            </a:ln>
            <a:effectLst/>
          </c:spPr>
          <c:invertIfNegative val="0"/>
          <c:cat>
            <c:strRef>
              <c:f>Karşılaştırma!$AD$5:$AD$10</c:f>
              <c:strCache>
                <c:ptCount val="6"/>
                <c:pt idx="0">
                  <c:v>Emin Değil </c:v>
                </c:pt>
                <c:pt idx="1">
                  <c:v>Zayıf</c:v>
                </c:pt>
                <c:pt idx="2">
                  <c:v>Orta </c:v>
                </c:pt>
                <c:pt idx="3">
                  <c:v>İyi</c:v>
                </c:pt>
                <c:pt idx="4">
                  <c:v>Çok İyi</c:v>
                </c:pt>
                <c:pt idx="5">
                  <c:v>Mükemmel</c:v>
                </c:pt>
              </c:strCache>
            </c:strRef>
          </c:cat>
          <c:val>
            <c:numRef>
              <c:f>Karşılaştırma!$AF$5:$AF$10</c:f>
              <c:numCache>
                <c:formatCode>General</c:formatCode>
                <c:ptCount val="6"/>
                <c:pt idx="0">
                  <c:v>0.02</c:v>
                </c:pt>
                <c:pt idx="1">
                  <c:v>0</c:v>
                </c:pt>
                <c:pt idx="2">
                  <c:v>0</c:v>
                </c:pt>
                <c:pt idx="3">
                  <c:v>0.13</c:v>
                </c:pt>
                <c:pt idx="4">
                  <c:v>0.47</c:v>
                </c:pt>
                <c:pt idx="5">
                  <c:v>0.38</c:v>
                </c:pt>
              </c:numCache>
            </c:numRef>
          </c:val>
        </c:ser>
        <c:ser>
          <c:idx val="2"/>
          <c:order val="2"/>
          <c:tx>
            <c:strRef>
              <c:f>Karşılaştırma!$AG$4</c:f>
              <c:strCache>
                <c:ptCount val="1"/>
                <c:pt idx="0">
                  <c:v>2014-2015</c:v>
                </c:pt>
              </c:strCache>
            </c:strRef>
          </c:tx>
          <c:spPr>
            <a:solidFill>
              <a:schemeClr val="accent3"/>
            </a:solidFill>
            <a:ln>
              <a:noFill/>
            </a:ln>
            <a:effectLst/>
          </c:spPr>
          <c:invertIfNegative val="0"/>
          <c:cat>
            <c:strRef>
              <c:f>Karşılaştırma!$AD$5:$AD$10</c:f>
              <c:strCache>
                <c:ptCount val="6"/>
                <c:pt idx="0">
                  <c:v>Emin Değil </c:v>
                </c:pt>
                <c:pt idx="1">
                  <c:v>Zayıf</c:v>
                </c:pt>
                <c:pt idx="2">
                  <c:v>Orta </c:v>
                </c:pt>
                <c:pt idx="3">
                  <c:v>İyi</c:v>
                </c:pt>
                <c:pt idx="4">
                  <c:v>Çok İyi</c:v>
                </c:pt>
                <c:pt idx="5">
                  <c:v>Mükemmel</c:v>
                </c:pt>
              </c:strCache>
            </c:strRef>
          </c:cat>
          <c:val>
            <c:numRef>
              <c:f>Karşılaştırma!$AG$5:$AG$10</c:f>
              <c:numCache>
                <c:formatCode>0.00</c:formatCode>
                <c:ptCount val="6"/>
                <c:pt idx="0">
                  <c:v>0</c:v>
                </c:pt>
                <c:pt idx="1">
                  <c:v>0</c:v>
                </c:pt>
                <c:pt idx="2">
                  <c:v>3.0769230769230771E-2</c:v>
                </c:pt>
                <c:pt idx="3">
                  <c:v>0.15384615384615385</c:v>
                </c:pt>
                <c:pt idx="4">
                  <c:v>0.43076923076923079</c:v>
                </c:pt>
                <c:pt idx="5">
                  <c:v>0.38461538461538464</c:v>
                </c:pt>
              </c:numCache>
            </c:numRef>
          </c:val>
        </c:ser>
        <c:ser>
          <c:idx val="3"/>
          <c:order val="3"/>
          <c:tx>
            <c:strRef>
              <c:f>Karşılaştırma!$AH$4</c:f>
              <c:strCache>
                <c:ptCount val="1"/>
                <c:pt idx="0">
                  <c:v>2015-2016</c:v>
                </c:pt>
              </c:strCache>
            </c:strRef>
          </c:tx>
          <c:spPr>
            <a:solidFill>
              <a:schemeClr val="accent4"/>
            </a:solidFill>
            <a:ln>
              <a:noFill/>
            </a:ln>
            <a:effectLst/>
          </c:spPr>
          <c:invertIfNegative val="0"/>
          <c:cat>
            <c:strRef>
              <c:f>Karşılaştırma!$AD$5:$AD$10</c:f>
              <c:strCache>
                <c:ptCount val="6"/>
                <c:pt idx="0">
                  <c:v>Emin Değil </c:v>
                </c:pt>
                <c:pt idx="1">
                  <c:v>Zayıf</c:v>
                </c:pt>
                <c:pt idx="2">
                  <c:v>Orta </c:v>
                </c:pt>
                <c:pt idx="3">
                  <c:v>İyi</c:v>
                </c:pt>
                <c:pt idx="4">
                  <c:v>Çok İyi</c:v>
                </c:pt>
                <c:pt idx="5">
                  <c:v>Mükemmel</c:v>
                </c:pt>
              </c:strCache>
            </c:strRef>
          </c:cat>
          <c:val>
            <c:numRef>
              <c:f>Karşılaştırma!$AH$5:$AH$10</c:f>
              <c:numCache>
                <c:formatCode>0.00</c:formatCode>
                <c:ptCount val="6"/>
                <c:pt idx="0">
                  <c:v>0</c:v>
                </c:pt>
                <c:pt idx="1">
                  <c:v>1.1494252873563218E-2</c:v>
                </c:pt>
                <c:pt idx="2">
                  <c:v>0</c:v>
                </c:pt>
                <c:pt idx="3">
                  <c:v>0.17241379310344829</c:v>
                </c:pt>
                <c:pt idx="4">
                  <c:v>0.41379310344827586</c:v>
                </c:pt>
                <c:pt idx="5">
                  <c:v>0.40229885057471265</c:v>
                </c:pt>
              </c:numCache>
            </c:numRef>
          </c:val>
        </c:ser>
        <c:ser>
          <c:idx val="4"/>
          <c:order val="4"/>
          <c:tx>
            <c:strRef>
              <c:f>Karşılaştırma!$AI$4</c:f>
              <c:strCache>
                <c:ptCount val="1"/>
                <c:pt idx="0">
                  <c:v>2016-2017</c:v>
                </c:pt>
              </c:strCache>
            </c:strRef>
          </c:tx>
          <c:spPr>
            <a:solidFill>
              <a:schemeClr val="accent5"/>
            </a:solidFill>
            <a:ln>
              <a:noFill/>
            </a:ln>
            <a:effectLst/>
          </c:spPr>
          <c:invertIfNegative val="0"/>
          <c:cat>
            <c:strRef>
              <c:f>Karşılaştırma!$AD$5:$AD$10</c:f>
              <c:strCache>
                <c:ptCount val="6"/>
                <c:pt idx="0">
                  <c:v>Emin Değil </c:v>
                </c:pt>
                <c:pt idx="1">
                  <c:v>Zayıf</c:v>
                </c:pt>
                <c:pt idx="2">
                  <c:v>Orta </c:v>
                </c:pt>
                <c:pt idx="3">
                  <c:v>İyi</c:v>
                </c:pt>
                <c:pt idx="4">
                  <c:v>Çok İyi</c:v>
                </c:pt>
                <c:pt idx="5">
                  <c:v>Mükemmel</c:v>
                </c:pt>
              </c:strCache>
            </c:strRef>
          </c:cat>
          <c:val>
            <c:numRef>
              <c:f>Karşılaştırma!$AI$5:$AI$10</c:f>
              <c:numCache>
                <c:formatCode>0.00</c:formatCode>
                <c:ptCount val="6"/>
                <c:pt idx="0">
                  <c:v>1.3513513513513514E-2</c:v>
                </c:pt>
                <c:pt idx="1">
                  <c:v>0</c:v>
                </c:pt>
                <c:pt idx="2">
                  <c:v>2.7027027027027029E-2</c:v>
                </c:pt>
                <c:pt idx="3">
                  <c:v>0.16216216216216217</c:v>
                </c:pt>
                <c:pt idx="4">
                  <c:v>0.33783783783783783</c:v>
                </c:pt>
                <c:pt idx="5">
                  <c:v>0.45945945945945948</c:v>
                </c:pt>
              </c:numCache>
            </c:numRef>
          </c:val>
        </c:ser>
        <c:ser>
          <c:idx val="5"/>
          <c:order val="5"/>
          <c:tx>
            <c:strRef>
              <c:f>Karşılaştırma!$AJ$4</c:f>
              <c:strCache>
                <c:ptCount val="1"/>
                <c:pt idx="0">
                  <c:v>2017-2018</c:v>
                </c:pt>
              </c:strCache>
            </c:strRef>
          </c:tx>
          <c:spPr>
            <a:solidFill>
              <a:schemeClr val="accent6"/>
            </a:solidFill>
            <a:ln>
              <a:noFill/>
            </a:ln>
            <a:effectLst/>
          </c:spPr>
          <c:invertIfNegative val="0"/>
          <c:cat>
            <c:strRef>
              <c:f>Karşılaştırma!$AD$5:$AD$10</c:f>
              <c:strCache>
                <c:ptCount val="6"/>
                <c:pt idx="0">
                  <c:v>Emin Değil </c:v>
                </c:pt>
                <c:pt idx="1">
                  <c:v>Zayıf</c:v>
                </c:pt>
                <c:pt idx="2">
                  <c:v>Orta </c:v>
                </c:pt>
                <c:pt idx="3">
                  <c:v>İyi</c:v>
                </c:pt>
                <c:pt idx="4">
                  <c:v>Çok İyi</c:v>
                </c:pt>
                <c:pt idx="5">
                  <c:v>Mükemmel</c:v>
                </c:pt>
              </c:strCache>
            </c:strRef>
          </c:cat>
          <c:val>
            <c:numRef>
              <c:f>Karşılaştırma!$AJ$5:$AJ$10</c:f>
              <c:numCache>
                <c:formatCode>0.00</c:formatCode>
                <c:ptCount val="6"/>
                <c:pt idx="0">
                  <c:v>0</c:v>
                </c:pt>
                <c:pt idx="1">
                  <c:v>0</c:v>
                </c:pt>
                <c:pt idx="2">
                  <c:v>1.098901098901099E-2</c:v>
                </c:pt>
                <c:pt idx="3">
                  <c:v>0.19780219780219779</c:v>
                </c:pt>
                <c:pt idx="4">
                  <c:v>0.36263736263736263</c:v>
                </c:pt>
                <c:pt idx="5">
                  <c:v>0.42857142857142855</c:v>
                </c:pt>
              </c:numCache>
            </c:numRef>
          </c:val>
        </c:ser>
        <c:dLbls>
          <c:showLegendKey val="0"/>
          <c:showVal val="0"/>
          <c:showCatName val="0"/>
          <c:showSerName val="0"/>
          <c:showPercent val="0"/>
          <c:showBubbleSize val="0"/>
        </c:dLbls>
        <c:gapWidth val="219"/>
        <c:overlap val="-27"/>
        <c:axId val="607395344"/>
        <c:axId val="607396128"/>
      </c:barChart>
      <c:catAx>
        <c:axId val="60739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07396128"/>
        <c:crosses val="autoZero"/>
        <c:auto val="1"/>
        <c:lblAlgn val="ctr"/>
        <c:lblOffset val="100"/>
        <c:noMultiLvlLbl val="0"/>
      </c:catAx>
      <c:valAx>
        <c:axId val="60739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0739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u="none" strike="noStrike" baseline="0">
                <a:effectLst/>
              </a:rPr>
              <a:t>Proje, risk ve değişiklik yönetimi gibi iş hayatındaki uygulamalar hakkında bilgi ve sürdürebilir kalkınma hakkında farkındalık</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Karşılaştırma!$AL$4</c:f>
              <c:strCache>
                <c:ptCount val="1"/>
                <c:pt idx="0">
                  <c:v>2012-2013</c:v>
                </c:pt>
              </c:strCache>
            </c:strRef>
          </c:tx>
          <c:spPr>
            <a:solidFill>
              <a:schemeClr val="accent1"/>
            </a:solidFill>
            <a:ln>
              <a:noFill/>
            </a:ln>
            <a:effectLst/>
          </c:spPr>
          <c:invertIfNegative val="0"/>
          <c:cat>
            <c:strRef>
              <c:f>Karşılaştırma!$AK$5:$AK$10</c:f>
              <c:strCache>
                <c:ptCount val="6"/>
                <c:pt idx="0">
                  <c:v>Emin Değil </c:v>
                </c:pt>
                <c:pt idx="1">
                  <c:v>Zayıf</c:v>
                </c:pt>
                <c:pt idx="2">
                  <c:v>Orta </c:v>
                </c:pt>
                <c:pt idx="3">
                  <c:v>İyi</c:v>
                </c:pt>
                <c:pt idx="4">
                  <c:v>Çok İyi</c:v>
                </c:pt>
                <c:pt idx="5">
                  <c:v>Mükemmel</c:v>
                </c:pt>
              </c:strCache>
            </c:strRef>
          </c:cat>
          <c:val>
            <c:numRef>
              <c:f>Karşılaştırma!$AL$5:$AL$10</c:f>
              <c:numCache>
                <c:formatCode>General</c:formatCode>
                <c:ptCount val="6"/>
                <c:pt idx="0">
                  <c:v>0.04</c:v>
                </c:pt>
                <c:pt idx="1">
                  <c:v>0</c:v>
                </c:pt>
                <c:pt idx="2">
                  <c:v>0.05</c:v>
                </c:pt>
                <c:pt idx="3">
                  <c:v>0.23</c:v>
                </c:pt>
                <c:pt idx="4">
                  <c:v>0.39</c:v>
                </c:pt>
                <c:pt idx="5">
                  <c:v>0.28999999999999998</c:v>
                </c:pt>
              </c:numCache>
            </c:numRef>
          </c:val>
        </c:ser>
        <c:ser>
          <c:idx val="1"/>
          <c:order val="1"/>
          <c:tx>
            <c:strRef>
              <c:f>Karşılaştırma!$AM$4</c:f>
              <c:strCache>
                <c:ptCount val="1"/>
                <c:pt idx="0">
                  <c:v>2013-2014</c:v>
                </c:pt>
              </c:strCache>
            </c:strRef>
          </c:tx>
          <c:spPr>
            <a:solidFill>
              <a:schemeClr val="accent2"/>
            </a:solidFill>
            <a:ln>
              <a:noFill/>
            </a:ln>
            <a:effectLst/>
          </c:spPr>
          <c:invertIfNegative val="0"/>
          <c:cat>
            <c:strRef>
              <c:f>Karşılaştırma!$AK$5:$AK$10</c:f>
              <c:strCache>
                <c:ptCount val="6"/>
                <c:pt idx="0">
                  <c:v>Emin Değil </c:v>
                </c:pt>
                <c:pt idx="1">
                  <c:v>Zayıf</c:v>
                </c:pt>
                <c:pt idx="2">
                  <c:v>Orta </c:v>
                </c:pt>
                <c:pt idx="3">
                  <c:v>İyi</c:v>
                </c:pt>
                <c:pt idx="4">
                  <c:v>Çok İyi</c:v>
                </c:pt>
                <c:pt idx="5">
                  <c:v>Mükemmel</c:v>
                </c:pt>
              </c:strCache>
            </c:strRef>
          </c:cat>
          <c:val>
            <c:numRef>
              <c:f>Karşılaştırma!$AM$5:$AM$10</c:f>
              <c:numCache>
                <c:formatCode>General</c:formatCode>
                <c:ptCount val="6"/>
                <c:pt idx="0">
                  <c:v>0.03</c:v>
                </c:pt>
                <c:pt idx="1">
                  <c:v>0.02</c:v>
                </c:pt>
                <c:pt idx="2">
                  <c:v>7.0000000000000007E-2</c:v>
                </c:pt>
                <c:pt idx="3">
                  <c:v>0.25</c:v>
                </c:pt>
                <c:pt idx="4">
                  <c:v>0.42</c:v>
                </c:pt>
                <c:pt idx="5">
                  <c:v>0.2</c:v>
                </c:pt>
              </c:numCache>
            </c:numRef>
          </c:val>
        </c:ser>
        <c:ser>
          <c:idx val="2"/>
          <c:order val="2"/>
          <c:tx>
            <c:strRef>
              <c:f>Karşılaştırma!$AN$4</c:f>
              <c:strCache>
                <c:ptCount val="1"/>
                <c:pt idx="0">
                  <c:v>2014-2015</c:v>
                </c:pt>
              </c:strCache>
            </c:strRef>
          </c:tx>
          <c:spPr>
            <a:solidFill>
              <a:schemeClr val="accent3"/>
            </a:solidFill>
            <a:ln>
              <a:noFill/>
            </a:ln>
            <a:effectLst/>
          </c:spPr>
          <c:invertIfNegative val="0"/>
          <c:cat>
            <c:strRef>
              <c:f>Karşılaştırma!$AK$5:$AK$10</c:f>
              <c:strCache>
                <c:ptCount val="6"/>
                <c:pt idx="0">
                  <c:v>Emin Değil </c:v>
                </c:pt>
                <c:pt idx="1">
                  <c:v>Zayıf</c:v>
                </c:pt>
                <c:pt idx="2">
                  <c:v>Orta </c:v>
                </c:pt>
                <c:pt idx="3">
                  <c:v>İyi</c:v>
                </c:pt>
                <c:pt idx="4">
                  <c:v>Çok İyi</c:v>
                </c:pt>
                <c:pt idx="5">
                  <c:v>Mükemmel</c:v>
                </c:pt>
              </c:strCache>
            </c:strRef>
          </c:cat>
          <c:val>
            <c:numRef>
              <c:f>Karşılaştırma!$AN$5:$AN$10</c:f>
              <c:numCache>
                <c:formatCode>0.00</c:formatCode>
                <c:ptCount val="6"/>
                <c:pt idx="0">
                  <c:v>3.0303030303030304E-2</c:v>
                </c:pt>
                <c:pt idx="1">
                  <c:v>0</c:v>
                </c:pt>
                <c:pt idx="2">
                  <c:v>6.0606060606060608E-2</c:v>
                </c:pt>
                <c:pt idx="3">
                  <c:v>0.27272727272727271</c:v>
                </c:pt>
                <c:pt idx="4">
                  <c:v>0.27272727272727271</c:v>
                </c:pt>
                <c:pt idx="5">
                  <c:v>0.36363636363636365</c:v>
                </c:pt>
              </c:numCache>
            </c:numRef>
          </c:val>
        </c:ser>
        <c:ser>
          <c:idx val="3"/>
          <c:order val="3"/>
          <c:tx>
            <c:strRef>
              <c:f>Karşılaştırma!$AO$4</c:f>
              <c:strCache>
                <c:ptCount val="1"/>
                <c:pt idx="0">
                  <c:v>2015-2016</c:v>
                </c:pt>
              </c:strCache>
            </c:strRef>
          </c:tx>
          <c:spPr>
            <a:solidFill>
              <a:schemeClr val="accent4"/>
            </a:solidFill>
            <a:ln>
              <a:noFill/>
            </a:ln>
            <a:effectLst/>
          </c:spPr>
          <c:invertIfNegative val="0"/>
          <c:cat>
            <c:strRef>
              <c:f>Karşılaştırma!$AK$5:$AK$10</c:f>
              <c:strCache>
                <c:ptCount val="6"/>
                <c:pt idx="0">
                  <c:v>Emin Değil </c:v>
                </c:pt>
                <c:pt idx="1">
                  <c:v>Zayıf</c:v>
                </c:pt>
                <c:pt idx="2">
                  <c:v>Orta </c:v>
                </c:pt>
                <c:pt idx="3">
                  <c:v>İyi</c:v>
                </c:pt>
                <c:pt idx="4">
                  <c:v>Çok İyi</c:v>
                </c:pt>
                <c:pt idx="5">
                  <c:v>Mükemmel</c:v>
                </c:pt>
              </c:strCache>
            </c:strRef>
          </c:cat>
          <c:val>
            <c:numRef>
              <c:f>Karşılaştırma!$AO$5:$AO$10</c:f>
              <c:numCache>
                <c:formatCode>0.00</c:formatCode>
                <c:ptCount val="6"/>
                <c:pt idx="0">
                  <c:v>2.2988505747126436E-2</c:v>
                </c:pt>
                <c:pt idx="1">
                  <c:v>1.1494252873563218E-2</c:v>
                </c:pt>
                <c:pt idx="2">
                  <c:v>2.2988505747126436E-2</c:v>
                </c:pt>
                <c:pt idx="3">
                  <c:v>0.21839080459770116</c:v>
                </c:pt>
                <c:pt idx="4">
                  <c:v>0.26436781609195403</c:v>
                </c:pt>
                <c:pt idx="5">
                  <c:v>0.45977011494252873</c:v>
                </c:pt>
              </c:numCache>
            </c:numRef>
          </c:val>
        </c:ser>
        <c:ser>
          <c:idx val="4"/>
          <c:order val="4"/>
          <c:tx>
            <c:strRef>
              <c:f>Karşılaştırma!$AP$4</c:f>
              <c:strCache>
                <c:ptCount val="1"/>
                <c:pt idx="0">
                  <c:v>2016-2017</c:v>
                </c:pt>
              </c:strCache>
            </c:strRef>
          </c:tx>
          <c:spPr>
            <a:solidFill>
              <a:schemeClr val="accent5"/>
            </a:solidFill>
            <a:ln>
              <a:noFill/>
            </a:ln>
            <a:effectLst/>
          </c:spPr>
          <c:invertIfNegative val="0"/>
          <c:cat>
            <c:strRef>
              <c:f>Karşılaştırma!$AK$5:$AK$10</c:f>
              <c:strCache>
                <c:ptCount val="6"/>
                <c:pt idx="0">
                  <c:v>Emin Değil </c:v>
                </c:pt>
                <c:pt idx="1">
                  <c:v>Zayıf</c:v>
                </c:pt>
                <c:pt idx="2">
                  <c:v>Orta </c:v>
                </c:pt>
                <c:pt idx="3">
                  <c:v>İyi</c:v>
                </c:pt>
                <c:pt idx="4">
                  <c:v>Çok İyi</c:v>
                </c:pt>
                <c:pt idx="5">
                  <c:v>Mükemmel</c:v>
                </c:pt>
              </c:strCache>
            </c:strRef>
          </c:cat>
          <c:val>
            <c:numRef>
              <c:f>Karşılaştırma!$AP$5:$AP$10</c:f>
              <c:numCache>
                <c:formatCode>0.00</c:formatCode>
                <c:ptCount val="6"/>
                <c:pt idx="0">
                  <c:v>1.3513513513513514E-2</c:v>
                </c:pt>
                <c:pt idx="1">
                  <c:v>0</c:v>
                </c:pt>
                <c:pt idx="2">
                  <c:v>1.3513513513513514E-2</c:v>
                </c:pt>
                <c:pt idx="3">
                  <c:v>0.20270270270270271</c:v>
                </c:pt>
                <c:pt idx="4">
                  <c:v>0.40540540540540543</c:v>
                </c:pt>
                <c:pt idx="5">
                  <c:v>0.36486486486486486</c:v>
                </c:pt>
              </c:numCache>
            </c:numRef>
          </c:val>
        </c:ser>
        <c:ser>
          <c:idx val="5"/>
          <c:order val="5"/>
          <c:tx>
            <c:strRef>
              <c:f>Karşılaştırma!$AQ$4</c:f>
              <c:strCache>
                <c:ptCount val="1"/>
                <c:pt idx="0">
                  <c:v>2017-2018</c:v>
                </c:pt>
              </c:strCache>
            </c:strRef>
          </c:tx>
          <c:spPr>
            <a:solidFill>
              <a:schemeClr val="accent6"/>
            </a:solidFill>
            <a:ln>
              <a:noFill/>
            </a:ln>
            <a:effectLst/>
          </c:spPr>
          <c:invertIfNegative val="0"/>
          <c:cat>
            <c:strRef>
              <c:f>Karşılaştırma!$AK$5:$AK$10</c:f>
              <c:strCache>
                <c:ptCount val="6"/>
                <c:pt idx="0">
                  <c:v>Emin Değil </c:v>
                </c:pt>
                <c:pt idx="1">
                  <c:v>Zayıf</c:v>
                </c:pt>
                <c:pt idx="2">
                  <c:v>Orta </c:v>
                </c:pt>
                <c:pt idx="3">
                  <c:v>İyi</c:v>
                </c:pt>
                <c:pt idx="4">
                  <c:v>Çok İyi</c:v>
                </c:pt>
                <c:pt idx="5">
                  <c:v>Mükemmel</c:v>
                </c:pt>
              </c:strCache>
            </c:strRef>
          </c:cat>
          <c:val>
            <c:numRef>
              <c:f>Karşılaştırma!$AQ$5:$AQ$10</c:f>
              <c:numCache>
                <c:formatCode>0.00</c:formatCode>
                <c:ptCount val="6"/>
                <c:pt idx="0">
                  <c:v>0</c:v>
                </c:pt>
                <c:pt idx="1">
                  <c:v>1.1111111111111112E-2</c:v>
                </c:pt>
                <c:pt idx="2">
                  <c:v>0.1</c:v>
                </c:pt>
                <c:pt idx="3">
                  <c:v>0.17777777777777778</c:v>
                </c:pt>
                <c:pt idx="4">
                  <c:v>0.35555555555555557</c:v>
                </c:pt>
                <c:pt idx="5">
                  <c:v>0.35555555555555557</c:v>
                </c:pt>
              </c:numCache>
            </c:numRef>
          </c:val>
        </c:ser>
        <c:dLbls>
          <c:showLegendKey val="0"/>
          <c:showVal val="0"/>
          <c:showCatName val="0"/>
          <c:showSerName val="0"/>
          <c:showPercent val="0"/>
          <c:showBubbleSize val="0"/>
        </c:dLbls>
        <c:gapWidth val="219"/>
        <c:overlap val="-27"/>
        <c:axId val="607393776"/>
        <c:axId val="418330352"/>
      </c:barChart>
      <c:catAx>
        <c:axId val="60739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8330352"/>
        <c:crosses val="autoZero"/>
        <c:auto val="1"/>
        <c:lblAlgn val="ctr"/>
        <c:lblOffset val="100"/>
        <c:noMultiLvlLbl val="0"/>
      </c:catAx>
      <c:valAx>
        <c:axId val="41833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07393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baseline="0">
                <a:effectLst/>
              </a:rPr>
              <a:t>Temel mühendislik bilgi düzeyinin yüksek olması ve bu bilgiyi ilgili sorunları çözmek için kullanabilme becerisi</a:t>
            </a:r>
            <a:endParaRPr lang="tr-TR"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Karşılaştırma!$AS$4</c:f>
              <c:strCache>
                <c:ptCount val="1"/>
                <c:pt idx="0">
                  <c:v>2012-2013</c:v>
                </c:pt>
              </c:strCache>
            </c:strRef>
          </c:tx>
          <c:spPr>
            <a:solidFill>
              <a:schemeClr val="accent1"/>
            </a:solidFill>
            <a:ln>
              <a:noFill/>
            </a:ln>
            <a:effectLst/>
          </c:spPr>
          <c:invertIfNegative val="0"/>
          <c:cat>
            <c:strRef>
              <c:f>Karşılaştırma!$AR$5:$AR$10</c:f>
              <c:strCache>
                <c:ptCount val="6"/>
                <c:pt idx="0">
                  <c:v>Emin Değil </c:v>
                </c:pt>
                <c:pt idx="1">
                  <c:v>Zayıf</c:v>
                </c:pt>
                <c:pt idx="2">
                  <c:v>Orta </c:v>
                </c:pt>
                <c:pt idx="3">
                  <c:v>İyi</c:v>
                </c:pt>
                <c:pt idx="4">
                  <c:v>Çok İyi</c:v>
                </c:pt>
                <c:pt idx="5">
                  <c:v>Mükemmel</c:v>
                </c:pt>
              </c:strCache>
            </c:strRef>
          </c:cat>
          <c:val>
            <c:numRef>
              <c:f>Karşılaştırma!$AS$5:$AS$10</c:f>
              <c:numCache>
                <c:formatCode>General</c:formatCode>
                <c:ptCount val="6"/>
                <c:pt idx="0">
                  <c:v>0</c:v>
                </c:pt>
                <c:pt idx="1">
                  <c:v>0</c:v>
                </c:pt>
                <c:pt idx="2">
                  <c:v>0.04</c:v>
                </c:pt>
                <c:pt idx="3">
                  <c:v>0.28999999999999998</c:v>
                </c:pt>
                <c:pt idx="4">
                  <c:v>0.5</c:v>
                </c:pt>
                <c:pt idx="5">
                  <c:v>0.18</c:v>
                </c:pt>
              </c:numCache>
            </c:numRef>
          </c:val>
        </c:ser>
        <c:ser>
          <c:idx val="1"/>
          <c:order val="1"/>
          <c:tx>
            <c:strRef>
              <c:f>Karşılaştırma!$AT$4</c:f>
              <c:strCache>
                <c:ptCount val="1"/>
                <c:pt idx="0">
                  <c:v>2013-2014</c:v>
                </c:pt>
              </c:strCache>
            </c:strRef>
          </c:tx>
          <c:spPr>
            <a:solidFill>
              <a:schemeClr val="accent2"/>
            </a:solidFill>
            <a:ln>
              <a:noFill/>
            </a:ln>
            <a:effectLst/>
          </c:spPr>
          <c:invertIfNegative val="0"/>
          <c:cat>
            <c:strRef>
              <c:f>Karşılaştırma!$AR$5:$AR$10</c:f>
              <c:strCache>
                <c:ptCount val="6"/>
                <c:pt idx="0">
                  <c:v>Emin Değil </c:v>
                </c:pt>
                <c:pt idx="1">
                  <c:v>Zayıf</c:v>
                </c:pt>
                <c:pt idx="2">
                  <c:v>Orta </c:v>
                </c:pt>
                <c:pt idx="3">
                  <c:v>İyi</c:v>
                </c:pt>
                <c:pt idx="4">
                  <c:v>Çok İyi</c:v>
                </c:pt>
                <c:pt idx="5">
                  <c:v>Mükemmel</c:v>
                </c:pt>
              </c:strCache>
            </c:strRef>
          </c:cat>
          <c:val>
            <c:numRef>
              <c:f>Karşılaştırma!$AT$5:$AT$10</c:f>
              <c:numCache>
                <c:formatCode>General</c:formatCode>
                <c:ptCount val="6"/>
                <c:pt idx="0">
                  <c:v>0</c:v>
                </c:pt>
                <c:pt idx="1">
                  <c:v>0</c:v>
                </c:pt>
                <c:pt idx="2">
                  <c:v>0.03</c:v>
                </c:pt>
                <c:pt idx="3">
                  <c:v>0.22</c:v>
                </c:pt>
                <c:pt idx="4">
                  <c:v>0.45</c:v>
                </c:pt>
                <c:pt idx="5">
                  <c:v>0.3</c:v>
                </c:pt>
              </c:numCache>
            </c:numRef>
          </c:val>
        </c:ser>
        <c:ser>
          <c:idx val="2"/>
          <c:order val="2"/>
          <c:tx>
            <c:strRef>
              <c:f>Karşılaştırma!$AU$4</c:f>
              <c:strCache>
                <c:ptCount val="1"/>
                <c:pt idx="0">
                  <c:v>2014-2015</c:v>
                </c:pt>
              </c:strCache>
            </c:strRef>
          </c:tx>
          <c:spPr>
            <a:solidFill>
              <a:schemeClr val="accent3"/>
            </a:solidFill>
            <a:ln>
              <a:noFill/>
            </a:ln>
            <a:effectLst/>
          </c:spPr>
          <c:invertIfNegative val="0"/>
          <c:cat>
            <c:strRef>
              <c:f>Karşılaştırma!$AR$5:$AR$10</c:f>
              <c:strCache>
                <c:ptCount val="6"/>
                <c:pt idx="0">
                  <c:v>Emin Değil </c:v>
                </c:pt>
                <c:pt idx="1">
                  <c:v>Zayıf</c:v>
                </c:pt>
                <c:pt idx="2">
                  <c:v>Orta </c:v>
                </c:pt>
                <c:pt idx="3">
                  <c:v>İyi</c:v>
                </c:pt>
                <c:pt idx="4">
                  <c:v>Çok İyi</c:v>
                </c:pt>
                <c:pt idx="5">
                  <c:v>Mükemmel</c:v>
                </c:pt>
              </c:strCache>
            </c:strRef>
          </c:cat>
          <c:val>
            <c:numRef>
              <c:f>Karşılaştırma!$AU$5:$AU$10</c:f>
              <c:numCache>
                <c:formatCode>0.00</c:formatCode>
                <c:ptCount val="6"/>
                <c:pt idx="0">
                  <c:v>0</c:v>
                </c:pt>
                <c:pt idx="1">
                  <c:v>0</c:v>
                </c:pt>
                <c:pt idx="2">
                  <c:v>3.0303030303030304E-2</c:v>
                </c:pt>
                <c:pt idx="3">
                  <c:v>0.25757575757575757</c:v>
                </c:pt>
                <c:pt idx="4">
                  <c:v>0.42424242424242425</c:v>
                </c:pt>
                <c:pt idx="5">
                  <c:v>0.2878787878787879</c:v>
                </c:pt>
              </c:numCache>
            </c:numRef>
          </c:val>
        </c:ser>
        <c:ser>
          <c:idx val="3"/>
          <c:order val="3"/>
          <c:tx>
            <c:strRef>
              <c:f>Karşılaştırma!$AV$4</c:f>
              <c:strCache>
                <c:ptCount val="1"/>
                <c:pt idx="0">
                  <c:v>2015-2016</c:v>
                </c:pt>
              </c:strCache>
            </c:strRef>
          </c:tx>
          <c:spPr>
            <a:solidFill>
              <a:schemeClr val="accent4"/>
            </a:solidFill>
            <a:ln>
              <a:noFill/>
            </a:ln>
            <a:effectLst/>
          </c:spPr>
          <c:invertIfNegative val="0"/>
          <c:cat>
            <c:strRef>
              <c:f>Karşılaştırma!$AR$5:$AR$10</c:f>
              <c:strCache>
                <c:ptCount val="6"/>
                <c:pt idx="0">
                  <c:v>Emin Değil </c:v>
                </c:pt>
                <c:pt idx="1">
                  <c:v>Zayıf</c:v>
                </c:pt>
                <c:pt idx="2">
                  <c:v>Orta </c:v>
                </c:pt>
                <c:pt idx="3">
                  <c:v>İyi</c:v>
                </c:pt>
                <c:pt idx="4">
                  <c:v>Çok İyi</c:v>
                </c:pt>
                <c:pt idx="5">
                  <c:v>Mükemmel</c:v>
                </c:pt>
              </c:strCache>
            </c:strRef>
          </c:cat>
          <c:val>
            <c:numRef>
              <c:f>Karşılaştırma!$AV$5:$AV$10</c:f>
              <c:numCache>
                <c:formatCode>0.00</c:formatCode>
                <c:ptCount val="6"/>
                <c:pt idx="0">
                  <c:v>1.1494252873563218E-2</c:v>
                </c:pt>
                <c:pt idx="1">
                  <c:v>0</c:v>
                </c:pt>
                <c:pt idx="2">
                  <c:v>2.2988505747126436E-2</c:v>
                </c:pt>
                <c:pt idx="3">
                  <c:v>0.27586206896551724</c:v>
                </c:pt>
                <c:pt idx="4">
                  <c:v>0.34482758620689657</c:v>
                </c:pt>
                <c:pt idx="5">
                  <c:v>0.34482758620689657</c:v>
                </c:pt>
              </c:numCache>
            </c:numRef>
          </c:val>
        </c:ser>
        <c:ser>
          <c:idx val="4"/>
          <c:order val="4"/>
          <c:tx>
            <c:strRef>
              <c:f>Karşılaştırma!$AW$4</c:f>
              <c:strCache>
                <c:ptCount val="1"/>
                <c:pt idx="0">
                  <c:v>2016-2017</c:v>
                </c:pt>
              </c:strCache>
            </c:strRef>
          </c:tx>
          <c:spPr>
            <a:solidFill>
              <a:schemeClr val="accent5"/>
            </a:solidFill>
            <a:ln>
              <a:noFill/>
            </a:ln>
            <a:effectLst/>
          </c:spPr>
          <c:invertIfNegative val="0"/>
          <c:cat>
            <c:strRef>
              <c:f>Karşılaştırma!$AR$5:$AR$10</c:f>
              <c:strCache>
                <c:ptCount val="6"/>
                <c:pt idx="0">
                  <c:v>Emin Değil </c:v>
                </c:pt>
                <c:pt idx="1">
                  <c:v>Zayıf</c:v>
                </c:pt>
                <c:pt idx="2">
                  <c:v>Orta </c:v>
                </c:pt>
                <c:pt idx="3">
                  <c:v>İyi</c:v>
                </c:pt>
                <c:pt idx="4">
                  <c:v>Çok İyi</c:v>
                </c:pt>
                <c:pt idx="5">
                  <c:v>Mükemmel</c:v>
                </c:pt>
              </c:strCache>
            </c:strRef>
          </c:cat>
          <c:val>
            <c:numRef>
              <c:f>Karşılaştırma!$AW$5:$AW$10</c:f>
              <c:numCache>
                <c:formatCode>0.00</c:formatCode>
                <c:ptCount val="6"/>
                <c:pt idx="0">
                  <c:v>4.0540540540540543E-2</c:v>
                </c:pt>
                <c:pt idx="1">
                  <c:v>0</c:v>
                </c:pt>
                <c:pt idx="2">
                  <c:v>4.0540540540540543E-2</c:v>
                </c:pt>
                <c:pt idx="3">
                  <c:v>0.14864864864864866</c:v>
                </c:pt>
                <c:pt idx="4">
                  <c:v>0.41891891891891891</c:v>
                </c:pt>
                <c:pt idx="5">
                  <c:v>0.35135135135135137</c:v>
                </c:pt>
              </c:numCache>
            </c:numRef>
          </c:val>
        </c:ser>
        <c:ser>
          <c:idx val="5"/>
          <c:order val="5"/>
          <c:tx>
            <c:strRef>
              <c:f>Karşılaştırma!$AX$4</c:f>
              <c:strCache>
                <c:ptCount val="1"/>
                <c:pt idx="0">
                  <c:v>2017-2018</c:v>
                </c:pt>
              </c:strCache>
            </c:strRef>
          </c:tx>
          <c:spPr>
            <a:solidFill>
              <a:schemeClr val="accent6"/>
            </a:solidFill>
            <a:ln>
              <a:noFill/>
            </a:ln>
            <a:effectLst/>
          </c:spPr>
          <c:invertIfNegative val="0"/>
          <c:cat>
            <c:strRef>
              <c:f>Karşılaştırma!$AR$5:$AR$10</c:f>
              <c:strCache>
                <c:ptCount val="6"/>
                <c:pt idx="0">
                  <c:v>Emin Değil </c:v>
                </c:pt>
                <c:pt idx="1">
                  <c:v>Zayıf</c:v>
                </c:pt>
                <c:pt idx="2">
                  <c:v>Orta </c:v>
                </c:pt>
                <c:pt idx="3">
                  <c:v>İyi</c:v>
                </c:pt>
                <c:pt idx="4">
                  <c:v>Çok İyi</c:v>
                </c:pt>
                <c:pt idx="5">
                  <c:v>Mükemmel</c:v>
                </c:pt>
              </c:strCache>
            </c:strRef>
          </c:cat>
          <c:val>
            <c:numRef>
              <c:f>Karşılaştırma!$AX$5:$AX$10</c:f>
              <c:numCache>
                <c:formatCode>0.00</c:formatCode>
                <c:ptCount val="6"/>
                <c:pt idx="0">
                  <c:v>0</c:v>
                </c:pt>
                <c:pt idx="1">
                  <c:v>0</c:v>
                </c:pt>
                <c:pt idx="2">
                  <c:v>7.8651685393258425E-2</c:v>
                </c:pt>
                <c:pt idx="3">
                  <c:v>0.20224719101123595</c:v>
                </c:pt>
                <c:pt idx="4">
                  <c:v>0.3707865168539326</c:v>
                </c:pt>
                <c:pt idx="5">
                  <c:v>0.34831460674157305</c:v>
                </c:pt>
              </c:numCache>
            </c:numRef>
          </c:val>
        </c:ser>
        <c:dLbls>
          <c:showLegendKey val="0"/>
          <c:showVal val="0"/>
          <c:showCatName val="0"/>
          <c:showSerName val="0"/>
          <c:showPercent val="0"/>
          <c:showBubbleSize val="0"/>
        </c:dLbls>
        <c:gapWidth val="219"/>
        <c:overlap val="-27"/>
        <c:axId val="418331920"/>
        <c:axId val="418332704"/>
      </c:barChart>
      <c:catAx>
        <c:axId val="41833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8332704"/>
        <c:crosses val="autoZero"/>
        <c:auto val="1"/>
        <c:lblAlgn val="ctr"/>
        <c:lblOffset val="100"/>
        <c:noMultiLvlLbl val="0"/>
      </c:catAx>
      <c:valAx>
        <c:axId val="41833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1833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1236</Words>
  <Characters>7051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Pelin</cp:lastModifiedBy>
  <cp:revision>7</cp:revision>
  <cp:lastPrinted>2015-03-10T13:26:00Z</cp:lastPrinted>
  <dcterms:created xsi:type="dcterms:W3CDTF">2019-02-14T08:36:00Z</dcterms:created>
  <dcterms:modified xsi:type="dcterms:W3CDTF">2019-02-14T12:32:00Z</dcterms:modified>
</cp:coreProperties>
</file>